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D5C28">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15</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506431</w:t>
      </w:r>
      <w:bookmarkStart w:id="16" w:name="_GoBack"/>
      <w:bookmarkEnd w:id="16"/>
    </w:p>
    <w:p w14:paraId="420CECAF">
      <w:pPr>
        <w:pStyle w:val="17"/>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hint="eastAsia" w:ascii="Arial" w:hAnsi="Arial" w:eastAsia="Yu Mincho Light" w:cs="Arial"/>
          <w:b/>
          <w:bCs/>
          <w:sz w:val="24"/>
          <w:szCs w:val="24"/>
          <w:lang w:val="en-US" w:eastAsia="zh-CN" w:bidi="ar-SA"/>
        </w:rPr>
        <w:t>Malta, MT,</w:t>
      </w:r>
      <w:r>
        <w:rPr>
          <w:rFonts w:ascii="Arial" w:hAnsi="Arial" w:eastAsia="Yu Mincho Light" w:cs="Arial"/>
          <w:b/>
          <w:bCs/>
          <w:sz w:val="24"/>
          <w:szCs w:val="24"/>
          <w:lang w:val="en-US" w:eastAsia="zh-CN" w:bidi="ar-SA"/>
        </w:rPr>
        <w:t xml:space="preserve"> 1</w:t>
      </w:r>
      <w:r>
        <w:rPr>
          <w:rFonts w:hint="eastAsia" w:ascii="Arial" w:hAnsi="Arial" w:eastAsia="Yu Mincho Light" w:cs="Arial"/>
          <w:b/>
          <w:bCs/>
          <w:sz w:val="24"/>
          <w:szCs w:val="24"/>
          <w:lang w:val="en-US" w:eastAsia="zh-CN" w:bidi="ar-SA"/>
        </w:rPr>
        <w:t>9</w:t>
      </w:r>
      <w:r>
        <w:rPr>
          <w:rFonts w:ascii="Arial" w:hAnsi="Arial" w:eastAsia="Yu Mincho Light" w:cs="Arial"/>
          <w:b/>
          <w:bCs/>
          <w:sz w:val="24"/>
          <w:szCs w:val="24"/>
          <w:vertAlign w:val="superscript"/>
          <w:lang w:val="en-US" w:eastAsia="zh-CN" w:bidi="ar-SA"/>
        </w:rPr>
        <w:t>th</w:t>
      </w:r>
      <w:r>
        <w:rPr>
          <w:rFonts w:ascii="Arial" w:hAnsi="Arial" w:eastAsia="Yu Mincho Light" w:cs="Arial"/>
          <w:b/>
          <w:bCs/>
          <w:sz w:val="24"/>
          <w:szCs w:val="24"/>
          <w:lang w:val="en-US" w:eastAsia="zh-CN" w:bidi="ar-SA"/>
        </w:rPr>
        <w:t xml:space="preserve"> – 2</w:t>
      </w:r>
      <w:r>
        <w:rPr>
          <w:rFonts w:hint="eastAsia" w:ascii="Arial" w:hAnsi="Arial" w:eastAsia="Yu Mincho Light" w:cs="Arial"/>
          <w:b/>
          <w:bCs/>
          <w:sz w:val="24"/>
          <w:szCs w:val="24"/>
          <w:lang w:val="en-US" w:eastAsia="zh-CN" w:bidi="ar-SA"/>
        </w:rPr>
        <w:t>3</w:t>
      </w:r>
      <w:r>
        <w:rPr>
          <w:rFonts w:hint="eastAsia" w:ascii="Arial" w:hAnsi="Arial" w:eastAsia="Yu Mincho Light" w:cs="Arial"/>
          <w:b/>
          <w:bCs/>
          <w:sz w:val="24"/>
          <w:szCs w:val="24"/>
          <w:vertAlign w:val="superscript"/>
          <w:lang w:val="en-US" w:eastAsia="zh-CN" w:bidi="ar-SA"/>
        </w:rPr>
        <w:t>rd</w:t>
      </w:r>
      <w:r>
        <w:rPr>
          <w:rFonts w:ascii="Arial" w:hAnsi="Arial" w:eastAsia="Yu Mincho Light" w:cs="Arial"/>
          <w:b/>
          <w:bCs/>
          <w:sz w:val="24"/>
          <w:szCs w:val="24"/>
          <w:lang w:val="en-US" w:eastAsia="zh-CN" w:bidi="ar-SA"/>
        </w:rPr>
        <w:t xml:space="preserve"> </w:t>
      </w:r>
      <w:r>
        <w:rPr>
          <w:rFonts w:hint="eastAsia" w:ascii="Arial" w:hAnsi="Arial" w:eastAsia="Yu Mincho Light" w:cs="Arial"/>
          <w:b/>
          <w:bCs/>
          <w:sz w:val="24"/>
          <w:szCs w:val="24"/>
          <w:lang w:val="en-US" w:eastAsia="zh-CN" w:bidi="ar-SA"/>
        </w:rPr>
        <w:t>May</w:t>
      </w:r>
      <w:r>
        <w:rPr>
          <w:rFonts w:ascii="Arial" w:hAnsi="Arial" w:eastAsia="Yu Mincho Light" w:cs="Arial"/>
          <w:b/>
          <w:bCs/>
          <w:sz w:val="24"/>
          <w:szCs w:val="24"/>
          <w:lang w:val="en-US" w:eastAsia="zh-CN" w:bidi="ar-SA"/>
        </w:rPr>
        <w:t>, 2025</w:t>
      </w:r>
    </w:p>
    <w:p w14:paraId="21005522">
      <w:pPr>
        <w:tabs>
          <w:tab w:val="left" w:pos="1765"/>
          <w:tab w:val="center" w:pos="4557"/>
        </w:tabs>
        <w:rPr>
          <w:b/>
          <w:sz w:val="22"/>
        </w:rPr>
      </w:pPr>
    </w:p>
    <w:p w14:paraId="2BA5A307">
      <w:pPr>
        <w:tabs>
          <w:tab w:val="left" w:pos="1765"/>
          <w:tab w:val="center" w:pos="4557"/>
        </w:tabs>
        <w:rPr>
          <w:rFonts w:hint="default" w:eastAsiaTheme="minorEastAsia"/>
          <w:b/>
          <w:sz w:val="22"/>
          <w:lang w:val="en-US" w:eastAsia="zh-CN"/>
        </w:rPr>
      </w:pPr>
      <w:r>
        <w:rPr>
          <w:b/>
          <w:sz w:val="22"/>
        </w:rPr>
        <w:t>Agenda Ite</w:t>
      </w:r>
      <w:r>
        <w:rPr>
          <w:b/>
          <w:sz w:val="22"/>
          <w:highlight w:val="none"/>
        </w:rPr>
        <w:t>m:</w:t>
      </w:r>
      <w:r>
        <w:rPr>
          <w:b/>
          <w:sz w:val="22"/>
          <w:highlight w:val="none"/>
        </w:rPr>
        <w:tab/>
      </w:r>
      <w:r>
        <w:rPr>
          <w:rFonts w:hint="eastAsia"/>
          <w:sz w:val="22"/>
          <w:highlight w:val="none"/>
          <w:lang w:val="en-US" w:eastAsia="zh-CN"/>
        </w:rPr>
        <w:t>7.31.5.1</w:t>
      </w:r>
    </w:p>
    <w:p w14:paraId="745AAAD4">
      <w:pPr>
        <w:tabs>
          <w:tab w:val="left" w:pos="1765"/>
        </w:tabs>
        <w:rPr>
          <w:sz w:val="22"/>
        </w:rPr>
      </w:pPr>
      <w:r>
        <w:rPr>
          <w:b/>
          <w:sz w:val="22"/>
        </w:rPr>
        <w:t xml:space="preserve">Source: </w:t>
      </w:r>
      <w:r>
        <w:rPr>
          <w:b/>
          <w:sz w:val="22"/>
        </w:rPr>
        <w:tab/>
      </w:r>
      <w:bookmarkStart w:id="1" w:name="_Hlk41145958"/>
      <w:r>
        <w:rPr>
          <w:sz w:val="22"/>
        </w:rPr>
        <w:t>CMCC</w:t>
      </w:r>
      <w:bookmarkEnd w:id="1"/>
    </w:p>
    <w:p w14:paraId="458C21CA">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w:t>
      </w:r>
      <w:r>
        <w:rPr>
          <w:rFonts w:hint="eastAsia"/>
          <w:sz w:val="22"/>
        </w:rPr>
        <w:t xml:space="preserve">Discussion on the RRM requirement </w:t>
      </w:r>
      <w:r>
        <w:rPr>
          <w:rFonts w:hint="eastAsia"/>
          <w:sz w:val="22"/>
          <w:lang w:val="en-US" w:eastAsia="zh-CN"/>
        </w:rPr>
        <w:t xml:space="preserve">of (e)Redcap UE </w:t>
      </w:r>
      <w:r>
        <w:rPr>
          <w:rFonts w:hint="eastAsia"/>
          <w:sz w:val="22"/>
        </w:rPr>
        <w:t>for NTN phase3</w:t>
      </w:r>
    </w:p>
    <w:bookmarkEnd w:id="3"/>
    <w:bookmarkEnd w:id="4"/>
    <w:p w14:paraId="5F6D89EA">
      <w:pPr>
        <w:tabs>
          <w:tab w:val="left" w:pos="1765"/>
        </w:tabs>
        <w:rPr>
          <w:sz w:val="22"/>
        </w:rPr>
      </w:pPr>
      <w:r>
        <w:rPr>
          <w:b/>
          <w:sz w:val="22"/>
        </w:rPr>
        <w:t>Document for:</w:t>
      </w:r>
      <w:r>
        <w:rPr>
          <w:b/>
          <w:sz w:val="22"/>
        </w:rPr>
        <w:tab/>
      </w:r>
      <w:r>
        <w:rPr>
          <w:sz w:val="22"/>
        </w:rPr>
        <w:t>Discussion</w:t>
      </w:r>
    </w:p>
    <w:p w14:paraId="16CF6D08">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11A9E04">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In last meeting, RAN4 discussed (e)RedCap UEs over NR FR1-NTN. The WF has been approved in [1]. </w:t>
      </w:r>
    </w:p>
    <w:p w14:paraId="4D5A168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specific requirements</w:t>
      </w:r>
      <w:r>
        <w:rPr>
          <w:rFonts w:eastAsia="等线"/>
          <w:sz w:val="20"/>
          <w:szCs w:val="20"/>
        </w:rPr>
        <w:t>.</w:t>
      </w:r>
    </w:p>
    <w:p w14:paraId="1EA5D032">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bookmarkStart w:id="5" w:name="_Hlk147849822"/>
      <w:bookmarkStart w:id="6" w:name="_Hlk70326378"/>
      <w:bookmarkStart w:id="7" w:name="OLE_LINK1"/>
      <w:bookmarkStart w:id="8" w:name="OLE_LINK2"/>
      <w:r>
        <w:rPr>
          <w:rFonts w:hint="eastAsia" w:ascii="Times New Roman" w:hAnsi="Times New Roman"/>
          <w:b w:val="0"/>
          <w:bCs w:val="0"/>
          <w:kern w:val="0"/>
          <w:sz w:val="36"/>
          <w:szCs w:val="36"/>
          <w:lang w:val="en-US" w:eastAsia="ja-JP"/>
        </w:rPr>
        <w:t>General consideration on RRM requirements</w:t>
      </w:r>
    </w:p>
    <w:p w14:paraId="1C3F63E9">
      <w:pPr>
        <w:numPr>
          <w:ilvl w:val="1"/>
          <w:numId w:val="5"/>
        </w:numPr>
        <w:pBdr>
          <w:top w:val="single" w:color="auto" w:sz="12" w:space="3"/>
        </w:pBdr>
        <w:tabs>
          <w:tab w:val="left" w:pos="432"/>
        </w:tabs>
        <w:spacing w:before="120" w:after="60" w:line="240" w:lineRule="auto"/>
        <w:ind w:left="567" w:leftChars="0" w:hanging="567" w:firstLineChars="0"/>
        <w:outlineLvl w:val="1"/>
        <w:rPr>
          <w:rFonts w:hint="eastAsia" w:ascii="Times New Roman" w:hAnsi="Times New Roman"/>
          <w:b w:val="0"/>
          <w:bCs w:val="0"/>
          <w:kern w:val="0"/>
          <w:sz w:val="28"/>
          <w:szCs w:val="28"/>
          <w:lang w:val="en-US" w:eastAsia="ja-JP"/>
        </w:rPr>
      </w:pPr>
      <w:r>
        <w:rPr>
          <w:rFonts w:hint="eastAsia" w:ascii="Times New Roman" w:hAnsi="Times New Roman"/>
          <w:b w:val="0"/>
          <w:bCs w:val="0"/>
          <w:kern w:val="0"/>
          <w:sz w:val="28"/>
          <w:szCs w:val="28"/>
          <w:lang w:val="en-US" w:eastAsia="zh-CN"/>
        </w:rPr>
        <w:t xml:space="preserve"> </w:t>
      </w:r>
      <w:r>
        <w:rPr>
          <w:rFonts w:hint="eastAsia" w:ascii="Times New Roman" w:hAnsi="Times New Roman"/>
          <w:b w:val="0"/>
          <w:bCs w:val="0"/>
          <w:kern w:val="0"/>
          <w:sz w:val="28"/>
          <w:szCs w:val="28"/>
          <w:lang w:val="en-US" w:eastAsia="ja-JP"/>
        </w:rPr>
        <w:t>What RRM requirements are defined for (e)RedCap UE with FR1-NTN</w:t>
      </w:r>
    </w:p>
    <w:p w14:paraId="746125BE">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1-1-3: MDT requirements</w:t>
      </w:r>
    </w:p>
    <w:p w14:paraId="0F0EA9DD">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Agreement:</w:t>
      </w:r>
    </w:p>
    <w:p w14:paraId="51E6A597">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MDT requirements in RRC_IDLE and RRC_INACTIVE state,</w:t>
      </w:r>
    </w:p>
    <w:p w14:paraId="648B6C4A">
      <w:pPr>
        <w:keepNext w:val="0"/>
        <w:keepLines w:val="0"/>
        <w:pageBreakBefore w:val="0"/>
        <w:widowControl/>
        <w:numPr>
          <w:ilvl w:val="0"/>
          <w:numId w:val="6"/>
        </w:numPr>
        <w:kinsoku/>
        <w:wordWrap/>
        <w:overflowPunct/>
        <w:topLinePunct w:val="0"/>
        <w:autoSpaceDE/>
        <w:autoSpaceDN/>
        <w:bidi w:val="0"/>
        <w:adjustRightInd/>
        <w:snapToGri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Deprioritize to define Minimization of Drive Tests (MDT) requirements in RRC_IDLE state and RRC_INACTIVE state for (e)RedCap UE with FR1-NTN.</w:t>
      </w:r>
    </w:p>
    <w:p w14:paraId="184B232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We think it is beneficial to support MDT capability for Redcap UE over NTN. </w:t>
      </w:r>
    </w:p>
    <w:p w14:paraId="3A05902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Firstly, for NTN network with </w:t>
      </w:r>
      <w:bookmarkStart w:id="9" w:name="OLE_LINK3"/>
      <w:r>
        <w:rPr>
          <w:rFonts w:hint="eastAsia"/>
          <w:kern w:val="2"/>
          <w:sz w:val="20"/>
          <w:szCs w:val="20"/>
          <w:lang w:val="en-US" w:eastAsia="zh-CN"/>
        </w:rPr>
        <w:t>large/moving cell coverage</w:t>
      </w:r>
      <w:bookmarkEnd w:id="9"/>
      <w:r>
        <w:rPr>
          <w:rFonts w:hint="eastAsia"/>
          <w:kern w:val="2"/>
          <w:sz w:val="20"/>
          <w:szCs w:val="20"/>
          <w:lang w:val="en-US" w:eastAsia="zh-CN"/>
        </w:rPr>
        <w:t xml:space="preserve">, it is barely impossible to use the traditional drive test, which requires support from both operation and testing equipment, the difficulty and cost of network optimization will increase a lot. While MDT could </w:t>
      </w:r>
      <w:r>
        <w:rPr>
          <w:rFonts w:hint="eastAsia"/>
          <w:kern w:val="2"/>
          <w:sz w:val="20"/>
          <w:szCs w:val="20"/>
          <w:lang w:val="en-GB" w:eastAsia="zh-CN"/>
        </w:rPr>
        <w:t>help network to optimize</w:t>
      </w:r>
      <w:r>
        <w:rPr>
          <w:rFonts w:hint="eastAsia"/>
          <w:kern w:val="2"/>
          <w:sz w:val="20"/>
          <w:szCs w:val="20"/>
          <w:lang w:val="en-US" w:eastAsia="zh-CN"/>
        </w:rPr>
        <w:t xml:space="preserve"> the scheduling with low cost</w:t>
      </w:r>
      <w:r>
        <w:rPr>
          <w:rFonts w:hint="eastAsia"/>
          <w:kern w:val="2"/>
          <w:sz w:val="20"/>
          <w:szCs w:val="20"/>
          <w:lang w:val="en-GB" w:eastAsia="zh-CN"/>
        </w:rPr>
        <w:t>.</w:t>
      </w:r>
      <w:r>
        <w:rPr>
          <w:rFonts w:hint="eastAsia"/>
          <w:kern w:val="2"/>
          <w:sz w:val="20"/>
          <w:szCs w:val="20"/>
          <w:lang w:val="en-US" w:eastAsia="zh-CN"/>
        </w:rPr>
        <w:t xml:space="preserve"> </w:t>
      </w:r>
    </w:p>
    <w:p w14:paraId="5A0FC7C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Secondly, for large cell coverage, especially for lonely area, it is hard to assume that network can acquire MDT report from handheld UE, the Redcap UE can serve as a supplement in this case.</w:t>
      </w:r>
    </w:p>
    <w:p w14:paraId="36B1157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Thirdly, the link performance seen between handheld UE and Redcap UE may be different, especially for 1Rx Redcap and HD-FDD Redcap. Therefore, although NTN network has already have MDT report from handheld UE, the MDT report from Redcap UE can still provide more information to network. </w:t>
      </w:r>
    </w:p>
    <w:p w14:paraId="655F57B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Lastly, we understand there is power consumption concern for Redcap UE. However, considering it is up to UE whether to support this capability or not, and UE who support this feature will stop the memory when the cached data over the threshold, and MDT will be started only after receiving the network configuration, we think all these approach can guarantee that the feature will be applied for UE without power consumption issue and only when necessary from network side.</w:t>
      </w:r>
    </w:p>
    <w:p w14:paraId="0B91937B">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等线"/>
          <w:b/>
          <w:bCs/>
          <w:i/>
          <w:iCs/>
          <w:sz w:val="20"/>
          <w:szCs w:val="20"/>
          <w:lang w:val="en-US" w:eastAsia="zh-CN"/>
        </w:rPr>
      </w:pPr>
      <w:bookmarkStart w:id="10" w:name="OLE_LINK4"/>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 xml:space="preserve">: </w:t>
      </w:r>
      <w:r>
        <w:rPr>
          <w:rFonts w:hint="eastAsia" w:eastAsia="等线"/>
          <w:b/>
          <w:bCs/>
          <w:i/>
          <w:iCs/>
          <w:sz w:val="20"/>
          <w:szCs w:val="20"/>
          <w:lang w:val="en-US" w:eastAsia="zh-CN"/>
        </w:rPr>
        <w:t>Define the MDT requirements i</w:t>
      </w:r>
      <w:r>
        <w:rPr>
          <w:rFonts w:hint="eastAsia"/>
          <w:b/>
          <w:bCs/>
          <w:i/>
          <w:iCs/>
          <w:sz w:val="20"/>
          <w:szCs w:val="20"/>
          <w:lang w:val="en-US" w:eastAsia="zh-CN"/>
        </w:rPr>
        <w:t xml:space="preserve">n RRC_IDLE and RRC_INACTIVE state </w:t>
      </w:r>
      <w:r>
        <w:rPr>
          <w:rFonts w:hint="eastAsia" w:eastAsia="等线"/>
          <w:b/>
          <w:bCs/>
          <w:i/>
          <w:iCs/>
          <w:sz w:val="20"/>
          <w:szCs w:val="20"/>
          <w:lang w:val="en-US" w:eastAsia="zh-CN"/>
        </w:rPr>
        <w:t>for Redcap over NTN. The legacy requirement from NTN can be reused.</w:t>
      </w:r>
    </w:p>
    <w:bookmarkEnd w:id="10"/>
    <w:p w14:paraId="6DA872E9">
      <w:pPr>
        <w:pStyle w:val="3"/>
        <w:numPr>
          <w:ilvl w:val="1"/>
          <w:numId w:val="5"/>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Features to be considered for (e)RedCap UE with FR1-NTN</w:t>
      </w:r>
    </w:p>
    <w:p w14:paraId="58BB1BFF">
      <w:pPr>
        <w:pStyle w:val="6"/>
        <w:spacing w:after="0"/>
        <w:rPr>
          <w:rFonts w:hint="eastAsia" w:ascii="Times New Roman" w:hAnsi="Times New Roman" w:cs="Times New Roman" w:eastAsiaTheme="minorEastAsia"/>
          <w:b/>
          <w:i/>
          <w:iCs/>
          <w:sz w:val="20"/>
          <w:szCs w:val="20"/>
          <w:highlight w:val="none"/>
          <w:u w:val="single"/>
          <w:lang w:val="en-US" w:eastAsia="ko-KR" w:bidi="ar-SA"/>
        </w:rPr>
      </w:pPr>
      <w:r>
        <w:rPr>
          <w:rFonts w:hint="eastAsia" w:ascii="Times New Roman" w:hAnsi="Times New Roman" w:cs="Times New Roman" w:eastAsiaTheme="minorEastAsia"/>
          <w:b/>
          <w:i/>
          <w:iCs/>
          <w:sz w:val="20"/>
          <w:szCs w:val="20"/>
          <w:highlight w:val="none"/>
          <w:u w:val="single"/>
          <w:lang w:val="en-US" w:eastAsia="ko-KR" w:bidi="ar-SA"/>
        </w:rPr>
        <w:t>Issue 1-2-1-1a: The proximity distance between two SMTCs</w:t>
      </w:r>
    </w:p>
    <w:p w14:paraId="7769A5DD">
      <w:pPr>
        <w:keepNext w:val="0"/>
        <w:keepLines w:val="0"/>
        <w:pageBreakBefore w:val="0"/>
        <w:widowControl/>
        <w:kinsoku/>
        <w:wordWrap/>
        <w:overflowPunct/>
        <w:topLinePunct w:val="0"/>
        <w:autoSpaceDE/>
        <w:autoSpaceDN/>
        <w:bidi w:val="0"/>
        <w:adjustRightInd/>
        <w:spacing w:before="60" w:after="60"/>
        <w:textAlignment w:val="auto"/>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&lt;Way Forward&gt;:</w:t>
      </w:r>
    </w:p>
    <w:p w14:paraId="3454DB97">
      <w:pPr>
        <w:keepNext w:val="0"/>
        <w:keepLines w:val="0"/>
        <w:pageBreakBefore w:val="0"/>
        <w:widowControl/>
        <w:kinsoku/>
        <w:wordWrap/>
        <w:overflowPunct/>
        <w:topLinePunct w:val="0"/>
        <w:autoSpaceDE/>
        <w:autoSpaceDN/>
        <w:bidi w:val="0"/>
        <w:adjustRightInd/>
        <w:snapToGrid w:val="0"/>
        <w:spacing w:before="60" w:after="60"/>
        <w:textAlignment w:val="auto"/>
        <w:rPr>
          <w:rFonts w:hint="eastAsia"/>
          <w:i/>
          <w:iCs/>
          <w:sz w:val="20"/>
          <w:szCs w:val="20"/>
          <w:lang w:eastAsia="zh-CN"/>
        </w:rPr>
      </w:pPr>
      <w:r>
        <w:rPr>
          <w:rFonts w:hint="eastAsia"/>
          <w:i/>
          <w:iCs/>
          <w:sz w:val="20"/>
          <w:szCs w:val="20"/>
          <w:lang w:eastAsia="zh-CN"/>
        </w:rPr>
        <w:t>When (e)RedCap UE is configured with more than one SMTC on a SAN carrier, two SMTC occasions outside measurement gap are considered colliding if at least one of the following conditions is met:</w:t>
      </w:r>
    </w:p>
    <w:p w14:paraId="5E738546">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the two SMTC occasions are fully or partially overlapping in time domain, or</w:t>
      </w:r>
    </w:p>
    <w:p w14:paraId="521FA414">
      <w:pPr>
        <w:keepNext w:val="0"/>
        <w:keepLines w:val="0"/>
        <w:pageBreakBefore w:val="0"/>
        <w:widowControl/>
        <w:numPr>
          <w:ilvl w:val="0"/>
          <w:numId w:val="6"/>
        </w:numPr>
        <w:kinsoku/>
        <w:wordWrap/>
        <w:overflowPunct/>
        <w:topLinePunct w:val="0"/>
        <w:autoSpaceDE/>
        <w:autoSpaceDN/>
        <w:bidi w:val="0"/>
        <w:adjustRightInd/>
        <w:spacing w:before="60" w:after="60"/>
        <w:ind w:left="72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the magnitude of the distance between two SMTC occasions in time domain is less than or equals to Y ms. </w:t>
      </w:r>
    </w:p>
    <w:p w14:paraId="79C542BC">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Y=5 ms</w:t>
      </w:r>
    </w:p>
    <w:p w14:paraId="6725E77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For normal UE, the proximity distance between two SMTCs is 4ms. Compared with normal UE, the baseband processing capability of (e)RedCap UE may be lower, thus, the relaxed proximity distance can be considered, 5ms is preferred.</w:t>
      </w:r>
    </w:p>
    <w:p w14:paraId="23476BEF">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lang w:val="en-US" w:eastAsia="zh-CN"/>
        </w:rPr>
      </w:pPr>
      <w:r>
        <w:rPr>
          <w:rFonts w:eastAsia="等线"/>
          <w:b/>
          <w:bCs/>
          <w:i/>
          <w:iCs/>
          <w:sz w:val="20"/>
          <w:szCs w:val="20"/>
        </w:rPr>
        <w:t xml:space="preserve">Proposal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For (e)RedCap UE, the proximity distance between two SMTCs is 5ms.</w:t>
      </w:r>
    </w:p>
    <w:p w14:paraId="11E8A0CD">
      <w:pPr>
        <w:pStyle w:val="2"/>
        <w:numPr>
          <w:ilvl w:val="0"/>
          <w:numId w:val="5"/>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The impact of HD-FDD</w:t>
      </w:r>
    </w:p>
    <w:p w14:paraId="3E85376E">
      <w:pPr>
        <w:pStyle w:val="3"/>
        <w:numPr>
          <w:ilvl w:val="1"/>
          <w:numId w:val="5"/>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General HD-FDD related impact</w:t>
      </w:r>
    </w:p>
    <w:p w14:paraId="42826548">
      <w:pPr>
        <w:pStyle w:val="6"/>
        <w:spacing w:after="0"/>
        <w:rPr>
          <w:rFonts w:hint="eastAsia" w:ascii="Times New Roman" w:hAnsi="Times New Roman" w:cs="Times New Roman" w:eastAsiaTheme="minorEastAsia"/>
          <w:b/>
          <w:i/>
          <w:iCs/>
          <w:sz w:val="20"/>
          <w:szCs w:val="20"/>
          <w:highlight w:val="none"/>
          <w:u w:val="single"/>
          <w:lang w:val="en-US" w:eastAsia="zh-CN" w:bidi="ar-SA"/>
        </w:rPr>
      </w:pPr>
      <w:r>
        <w:rPr>
          <w:rFonts w:hint="eastAsia" w:ascii="Times New Roman" w:hAnsi="Times New Roman" w:cs="Times New Roman" w:eastAsiaTheme="minorEastAsia"/>
          <w:b/>
          <w:i/>
          <w:iCs/>
          <w:sz w:val="20"/>
          <w:szCs w:val="20"/>
          <w:highlight w:val="none"/>
          <w:u w:val="single"/>
          <w:lang w:val="en-US" w:eastAsia="ko-KR" w:bidi="ar-SA"/>
        </w:rPr>
        <w:t>Issue 3-1-1: General HD-FDD related impact</w:t>
      </w:r>
    </w:p>
    <w:p w14:paraId="6B962DDB">
      <w:pPr>
        <w:keepNext w:val="0"/>
        <w:keepLines w:val="0"/>
        <w:pageBreakBefore w:val="0"/>
        <w:widowControl/>
        <w:kinsoku/>
        <w:wordWrap/>
        <w:overflowPunct/>
        <w:topLinePunct w:val="0"/>
        <w:autoSpaceDE/>
        <w:autoSpaceDN/>
        <w:bidi w:val="0"/>
        <w:adjustRightInd/>
        <w:spacing w:before="60" w:after="60"/>
        <w:textAlignment w:val="auto"/>
        <w:outlineLvl w:val="9"/>
        <w:rPr>
          <w:rFonts w:hint="eastAsia"/>
          <w:b/>
          <w:bCs w:val="0"/>
          <w:i/>
          <w:iCs/>
          <w:sz w:val="20"/>
          <w:szCs w:val="20"/>
          <w:highlight w:val="green"/>
          <w:u w:val="none"/>
          <w:lang w:val="en-US" w:eastAsia="zh-CN"/>
        </w:rPr>
      </w:pPr>
      <w:r>
        <w:rPr>
          <w:rFonts w:hint="eastAsia"/>
          <w:b/>
          <w:bCs w:val="0"/>
          <w:i/>
          <w:iCs/>
          <w:sz w:val="20"/>
          <w:szCs w:val="20"/>
          <w:highlight w:val="green"/>
          <w:u w:val="none"/>
          <w:lang w:val="en-US" w:eastAsia="zh-CN"/>
        </w:rPr>
        <w:t>Agreement:</w:t>
      </w:r>
    </w:p>
    <w:p w14:paraId="2DC40AE6">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The legacy requirements and applicable conditions can be reused as baseline:</w:t>
      </w:r>
    </w:p>
    <w:p w14:paraId="6C7D4D4A">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Paging reception requirements in RRC_IDLE/ RRC_INACTIVE state</w:t>
      </w:r>
    </w:p>
    <w:p w14:paraId="038457F0">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Handover interruption time</w:t>
      </w:r>
    </w:p>
    <w:p w14:paraId="05F8CE1C">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Random access</w:t>
      </w:r>
    </w:p>
    <w:p w14:paraId="24847191">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SA: RRC Connection Release with Redirection</w:t>
      </w:r>
    </w:p>
    <w:p w14:paraId="57DB49AA">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highlight w:val="yellow"/>
          <w:lang w:val="en-US" w:eastAsia="zh-CN" w:bidi="ar-SA"/>
        </w:rPr>
      </w:pPr>
      <w:r>
        <w:rPr>
          <w:rFonts w:hint="eastAsia" w:ascii="Times New Roman" w:hAnsi="Times New Roman" w:eastAsia="宋体" w:cs="Times New Roman"/>
          <w:i/>
          <w:iCs/>
          <w:sz w:val="20"/>
          <w:szCs w:val="20"/>
          <w:highlight w:val="yellow"/>
          <w:lang w:val="en-US" w:eastAsia="zh-CN" w:bidi="ar-SA"/>
        </w:rPr>
        <w:t>[Minimum requirement for L1 indication for RLM and LR]</w:t>
      </w:r>
    </w:p>
    <w:p w14:paraId="29AA337D">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Scheduling availability of UE performing intra/inter measurements</w:t>
      </w:r>
    </w:p>
    <w:p w14:paraId="421AC588">
      <w:pPr>
        <w:keepNext w:val="0"/>
        <w:keepLines w:val="0"/>
        <w:pageBreakBefore w:val="0"/>
        <w:widowControl/>
        <w:kinsoku/>
        <w:wordWrap/>
        <w:overflowPunct/>
        <w:topLinePunct w:val="0"/>
        <w:autoSpaceDE/>
        <w:autoSpaceDN/>
        <w:bidi w:val="0"/>
        <w:adjustRightInd/>
        <w:spacing w:before="60" w:after="60"/>
        <w:textAlignment w:val="auto"/>
        <w:outlineLvl w:val="9"/>
        <w:rPr>
          <w:rFonts w:hint="eastAsia"/>
          <w:b/>
          <w:bCs w:val="0"/>
          <w:i/>
          <w:iCs/>
          <w:sz w:val="20"/>
          <w:szCs w:val="20"/>
          <w:highlight w:val="yellow"/>
          <w:u w:val="none"/>
          <w:lang w:val="en-US" w:eastAsia="zh-CN"/>
        </w:rPr>
      </w:pPr>
      <w:r>
        <w:rPr>
          <w:rFonts w:hint="eastAsia"/>
          <w:b/>
          <w:bCs w:val="0"/>
          <w:i/>
          <w:iCs/>
          <w:sz w:val="20"/>
          <w:szCs w:val="20"/>
          <w:highlight w:val="yellow"/>
          <w:u w:val="none"/>
          <w:lang w:val="en-US" w:eastAsia="zh-CN"/>
        </w:rPr>
        <w:t>RAN4 to further discuss:</w:t>
      </w:r>
    </w:p>
    <w:p w14:paraId="307CDB62">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The legacy requirements and applicable conditions can be reused as baseline for defining requirements of RedCap UE in NTN scenario, and discuss whether there is spec impact for the following requirements by HD-FDD:</w:t>
      </w:r>
    </w:p>
    <w:p w14:paraId="7B8FB6D0">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Scheduling availability of UE during L1-RSRP measurement</w:t>
      </w:r>
    </w:p>
    <w:p w14:paraId="5F36AEB4">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Other requirement is not precluded</w:t>
      </w:r>
    </w:p>
    <w:p w14:paraId="3CF377DF">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Candidate options for the potential spec impact for each of the above requirements (if needed): </w:t>
      </w:r>
    </w:p>
    <w:p w14:paraId="3E05C29A">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a: the requirement is extended, e.g., the requirement does not count resources, channels, SSB, etc if they overlap with the other direction as specified a valid case in RAN1 specification.</w:t>
      </w:r>
    </w:p>
    <w:p w14:paraId="2800660B">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b: Clarify that the requirements for CSI-RS and PRS apply provided that no CSI-RS and PRS resource is dropped due to collision with UL transmission during the measurement period.</w:t>
      </w:r>
    </w:p>
    <w:p w14:paraId="50EFF69D">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c: The requirement applies when there is at least one RS within each measuremen</w:t>
      </w:r>
      <w:r>
        <w:rPr>
          <w:rFonts w:hint="eastAsia" w:eastAsia="宋体" w:cs="Times New Roman"/>
          <w:i/>
          <w:iCs/>
          <w:sz w:val="20"/>
          <w:szCs w:val="20"/>
          <w:lang w:val="en-US" w:eastAsia="zh-CN" w:bidi="ar-SA"/>
        </w:rPr>
        <w:t>t</w:t>
      </w:r>
      <w:r>
        <w:rPr>
          <w:rFonts w:hint="eastAsia" w:ascii="Times New Roman" w:hAnsi="Times New Roman" w:eastAsia="宋体" w:cs="Times New Roman"/>
          <w:i/>
          <w:iCs/>
          <w:sz w:val="20"/>
          <w:szCs w:val="20"/>
          <w:lang w:val="en-US" w:eastAsia="zh-CN" w:bidi="ar-SA"/>
        </w:rPr>
        <w:t xml:space="preserve"> interval.</w:t>
      </w:r>
    </w:p>
    <w:p w14:paraId="4238BC2D">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the same or different option for DRX and non-DRX</w:t>
      </w:r>
    </w:p>
    <w:p w14:paraId="25CA749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val="0"/>
          <w:iCs w:val="0"/>
          <w:kern w:val="2"/>
          <w:sz w:val="20"/>
          <w:szCs w:val="20"/>
          <w:lang w:val="en-US" w:eastAsia="zh-CN"/>
        </w:rPr>
      </w:pPr>
      <w:r>
        <w:rPr>
          <w:rFonts w:hint="eastAsia"/>
          <w:i w:val="0"/>
          <w:iCs w:val="0"/>
          <w:kern w:val="2"/>
          <w:sz w:val="20"/>
          <w:szCs w:val="20"/>
          <w:lang w:val="en-US" w:eastAsia="zh-CN"/>
        </w:rPr>
        <w:t>Firstly, for minimum requirement for L1 indication for RLM and LR, the legacy applicable condition can be reused, that for each RLM-RS configuration, at least one RLM-RS sample must fall with DL occasion within an indication period.</w:t>
      </w:r>
    </w:p>
    <w:p w14:paraId="11503FF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i w:val="0"/>
          <w:iCs w:val="0"/>
          <w:kern w:val="2"/>
          <w:sz w:val="20"/>
          <w:szCs w:val="20"/>
          <w:lang w:val="en-US" w:eastAsia="zh-CN"/>
        </w:rPr>
      </w:pPr>
      <w:bookmarkStart w:id="11" w:name="OLE_LINK18"/>
      <w:r>
        <w:rPr>
          <w:rFonts w:hint="eastAsia"/>
          <w:b/>
          <w:bCs/>
          <w:i/>
          <w:iCs/>
          <w:sz w:val="20"/>
          <w:szCs w:val="20"/>
          <w:lang w:val="en-US" w:eastAsia="zh-CN"/>
        </w:rPr>
        <w:t>Proposal 3: For minimum requirement for L1 indication for RLM and LR, reuse the legacy applicable condition, that for each RLM-RS configuration, at least one RLM-RS sample must fall with DL occasion within an indication period.</w:t>
      </w:r>
    </w:p>
    <w:bookmarkEnd w:id="11"/>
    <w:p w14:paraId="42C4E4C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Theme="minorEastAsia"/>
          <w:b w:val="0"/>
          <w:bCs w:val="0"/>
          <w:i w:val="0"/>
          <w:iCs w:val="0"/>
          <w:kern w:val="2"/>
          <w:sz w:val="20"/>
          <w:szCs w:val="20"/>
          <w:lang w:val="en-US" w:eastAsia="zh-CN"/>
        </w:rPr>
      </w:pPr>
      <w:r>
        <w:rPr>
          <w:rFonts w:hint="eastAsia"/>
          <w:b w:val="0"/>
          <w:bCs w:val="0"/>
          <w:i w:val="0"/>
          <w:iCs w:val="0"/>
          <w:sz w:val="20"/>
          <w:szCs w:val="20"/>
          <w:lang w:val="en-US" w:eastAsia="zh-CN"/>
        </w:rPr>
        <w:t>Then, f</w:t>
      </w:r>
      <w:r>
        <w:rPr>
          <w:rFonts w:hint="eastAsia"/>
          <w:b w:val="0"/>
          <w:bCs w:val="0"/>
          <w:i w:val="0"/>
          <w:iCs w:val="0"/>
          <w:kern w:val="2"/>
          <w:sz w:val="20"/>
          <w:szCs w:val="20"/>
          <w:lang w:val="en-US" w:eastAsia="zh-CN"/>
        </w:rPr>
        <w:t xml:space="preserve">or </w:t>
      </w:r>
      <w:r>
        <w:rPr>
          <w:rFonts w:hint="eastAsia"/>
          <w:b w:val="0"/>
          <w:bCs w:val="0"/>
          <w:i w:val="0"/>
          <w:iCs w:val="0"/>
          <w:sz w:val="20"/>
          <w:szCs w:val="20"/>
          <w:lang w:val="en-US" w:eastAsia="zh-CN"/>
        </w:rPr>
        <w:t>s</w:t>
      </w:r>
      <w:r>
        <w:rPr>
          <w:b w:val="0"/>
          <w:bCs w:val="0"/>
          <w:i w:val="0"/>
          <w:iCs w:val="0"/>
          <w:sz w:val="20"/>
          <w:szCs w:val="20"/>
        </w:rPr>
        <w:t>cheduling availability of UE during L1-RSRP measurement</w:t>
      </w:r>
      <w:r>
        <w:rPr>
          <w:rFonts w:hint="eastAsia"/>
          <w:b w:val="0"/>
          <w:bCs w:val="0"/>
          <w:i w:val="0"/>
          <w:iCs w:val="0"/>
          <w:sz w:val="20"/>
          <w:szCs w:val="20"/>
          <w:lang w:val="en-US" w:eastAsia="zh-CN"/>
        </w:rPr>
        <w:t xml:space="preserve">, the main rule is that </w:t>
      </w:r>
      <w:bookmarkStart w:id="12" w:name="OLE_LINK22"/>
      <w:r>
        <w:rPr>
          <w:rFonts w:hint="eastAsia"/>
          <w:b w:val="0"/>
          <w:bCs w:val="0"/>
          <w:i w:val="0"/>
          <w:iCs w:val="0"/>
          <w:sz w:val="20"/>
          <w:szCs w:val="20"/>
          <w:lang w:val="en-US" w:eastAsia="zh-CN"/>
        </w:rPr>
        <w:t>scheduling restrictions apply for transmission on PUCCH/PUSCH/SRS during the CBD evaluation period, as CBD evaluation is prioritized over UL transmission.</w:t>
      </w:r>
      <w:bookmarkEnd w:id="12"/>
      <w:r>
        <w:rPr>
          <w:rFonts w:hint="eastAsia"/>
          <w:b w:val="0"/>
          <w:bCs w:val="0"/>
          <w:i w:val="0"/>
          <w:iCs w:val="0"/>
          <w:sz w:val="20"/>
          <w:szCs w:val="20"/>
          <w:lang w:val="en-US" w:eastAsia="zh-CN"/>
        </w:rPr>
        <w:t xml:space="preserve"> However, with RAN1</w:t>
      </w:r>
      <w:r>
        <w:rPr>
          <w:rFonts w:hint="default"/>
          <w:b w:val="0"/>
          <w:bCs w:val="0"/>
          <w:i w:val="0"/>
          <w:iCs w:val="0"/>
          <w:sz w:val="20"/>
          <w:szCs w:val="20"/>
          <w:lang w:val="en-US" w:eastAsia="zh-CN"/>
        </w:rPr>
        <w:t>’</w:t>
      </w:r>
      <w:r>
        <w:rPr>
          <w:rFonts w:hint="eastAsia"/>
          <w:b w:val="0"/>
          <w:bCs w:val="0"/>
          <w:i w:val="0"/>
          <w:iCs w:val="0"/>
          <w:sz w:val="20"/>
          <w:szCs w:val="20"/>
          <w:lang w:val="en-US" w:eastAsia="zh-CN"/>
        </w:rPr>
        <w:t xml:space="preserve">s design, the CBD evaluation may not always prioritized over UL transmission. Therefore, we propose to update the side condition as: </w:t>
      </w:r>
      <w:bookmarkStart w:id="13" w:name="OLE_LINK27"/>
      <w:r>
        <w:rPr>
          <w:rFonts w:hint="eastAsia"/>
          <w:b w:val="0"/>
          <w:bCs w:val="0"/>
          <w:i w:val="0"/>
          <w:iCs w:val="0"/>
          <w:sz w:val="20"/>
          <w:szCs w:val="20"/>
          <w:lang w:val="en-US" w:eastAsia="zh-CN"/>
        </w:rPr>
        <w:t>scheduling restrictions apply for transmission on PUCCH/PUSCH/SRS during the CBD evaluation period, when CBD evaluation is prioritized over UL transmission.</w:t>
      </w:r>
      <w:bookmarkEnd w:id="13"/>
    </w:p>
    <w:p w14:paraId="4A2B318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Theme="minorEastAsia"/>
          <w:b/>
          <w:bCs/>
          <w:i/>
          <w:iCs/>
          <w:sz w:val="20"/>
          <w:szCs w:val="20"/>
          <w:lang w:val="en-US" w:eastAsia="zh-CN"/>
        </w:rPr>
      </w:pPr>
      <w:bookmarkStart w:id="14" w:name="OLE_LINK32"/>
      <w:r>
        <w:rPr>
          <w:rFonts w:hint="eastAsia"/>
          <w:b/>
          <w:bCs/>
          <w:i/>
          <w:iCs/>
          <w:sz w:val="20"/>
          <w:szCs w:val="20"/>
          <w:lang w:val="en-US" w:eastAsia="zh-CN"/>
        </w:rPr>
        <w:t xml:space="preserve">Proposal 4: </w:t>
      </w:r>
      <w:r>
        <w:rPr>
          <w:rFonts w:hint="eastAsia"/>
          <w:b/>
          <w:bCs/>
          <w:i/>
          <w:iCs/>
          <w:kern w:val="2"/>
          <w:sz w:val="20"/>
          <w:szCs w:val="20"/>
          <w:lang w:val="en-US" w:eastAsia="zh-CN"/>
        </w:rPr>
        <w:t xml:space="preserve">For </w:t>
      </w:r>
      <w:r>
        <w:rPr>
          <w:rFonts w:hint="eastAsia"/>
          <w:b/>
          <w:bCs/>
          <w:i/>
          <w:iCs/>
          <w:sz w:val="20"/>
          <w:szCs w:val="20"/>
          <w:lang w:val="en-US" w:eastAsia="zh-CN"/>
        </w:rPr>
        <w:t>s</w:t>
      </w:r>
      <w:r>
        <w:rPr>
          <w:b/>
          <w:bCs/>
          <w:i/>
          <w:iCs/>
          <w:sz w:val="20"/>
          <w:szCs w:val="20"/>
        </w:rPr>
        <w:t>cheduling availability of UE during L1-RSRP measurement</w:t>
      </w:r>
      <w:r>
        <w:rPr>
          <w:rFonts w:hint="eastAsia"/>
          <w:b/>
          <w:bCs/>
          <w:i/>
          <w:iCs/>
          <w:sz w:val="20"/>
          <w:szCs w:val="20"/>
          <w:lang w:val="en-US" w:eastAsia="zh-CN"/>
        </w:rPr>
        <w:t xml:space="preserve">, update the principle as scheduling restrictions apply for transmission on PUCCH/PUSCH/SRS during the CBD evaluation period, </w:t>
      </w:r>
      <w:r>
        <w:rPr>
          <w:rFonts w:hint="eastAsia"/>
          <w:b/>
          <w:bCs/>
          <w:i/>
          <w:iCs/>
          <w:sz w:val="20"/>
          <w:szCs w:val="20"/>
          <w:u w:val="single"/>
          <w:lang w:val="en-US" w:eastAsia="zh-CN"/>
        </w:rPr>
        <w:t>when CBD evaluation is prioritized over UL transmission</w:t>
      </w:r>
      <w:r>
        <w:rPr>
          <w:rFonts w:hint="eastAsia"/>
          <w:b/>
          <w:bCs/>
          <w:i/>
          <w:iCs/>
          <w:sz w:val="20"/>
          <w:szCs w:val="20"/>
          <w:lang w:val="en-US" w:eastAsia="zh-CN"/>
        </w:rPr>
        <w:t>.</w:t>
      </w:r>
    </w:p>
    <w:bookmarkEnd w:id="14"/>
    <w:p w14:paraId="2FD9382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Lastly, for CSI-RS and PRS based measurement requirements, if n</w:t>
      </w:r>
      <w:r>
        <w:rPr>
          <w:rFonts w:hint="eastAsia" w:ascii="Times" w:hAnsi="Times" w:eastAsia="宋体"/>
          <w:bCs/>
          <w:sz w:val="20"/>
          <w:lang w:val="en-US" w:eastAsia="zh-CN"/>
        </w:rPr>
        <w:t xml:space="preserve">etwork indicates UL overriding DL, the </w:t>
      </w:r>
      <w:r>
        <w:rPr>
          <w:rFonts w:hint="eastAsia"/>
          <w:b w:val="0"/>
          <w:bCs w:val="0"/>
          <w:i w:val="0"/>
          <w:iCs w:val="0"/>
          <w:sz w:val="20"/>
          <w:szCs w:val="20"/>
          <w:lang w:val="en-US" w:eastAsia="zh-CN"/>
        </w:rPr>
        <w:t>CSI-RS and PRS measurement samples may be punctured. Therefore, the applicable condition shall be defined, the requirement applies provided that there is at least one RS within each measurement interval.</w:t>
      </w:r>
    </w:p>
    <w:p w14:paraId="4E5B46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val="0"/>
          <w:bCs w:val="0"/>
          <w:i w:val="0"/>
          <w:iCs w:val="0"/>
          <w:sz w:val="20"/>
          <w:szCs w:val="20"/>
          <w:lang w:val="en-US" w:eastAsia="zh-CN"/>
        </w:rPr>
      </w:pPr>
      <w:r>
        <w:rPr>
          <w:rFonts w:hint="eastAsia"/>
          <w:b/>
          <w:bCs/>
          <w:i/>
          <w:iCs/>
          <w:sz w:val="20"/>
          <w:szCs w:val="20"/>
          <w:lang w:val="en-US" w:eastAsia="zh-CN"/>
        </w:rPr>
        <w:t>Proposal 5: For CSI-RS and PRS based measurement requirements, the requirements can be applied provided that there is at least one RS within each measurement interval.</w:t>
      </w:r>
    </w:p>
    <w:p w14:paraId="3013C3AF">
      <w:pPr>
        <w:rPr>
          <w:rFonts w:hint="default"/>
          <w:lang w:val="en-US" w:eastAsia="zh-CN"/>
        </w:rPr>
      </w:pPr>
    </w:p>
    <w:p w14:paraId="0EEE090E">
      <w:pPr>
        <w:pStyle w:val="2"/>
        <w:numPr>
          <w:ilvl w:val="0"/>
          <w:numId w:val="5"/>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zh-CN"/>
        </w:rPr>
        <w:t>Others</w:t>
      </w:r>
    </w:p>
    <w:p w14:paraId="16E79DF8">
      <w:pPr>
        <w:pStyle w:val="3"/>
        <w:numPr>
          <w:ilvl w:val="1"/>
          <w:numId w:val="5"/>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UE capabilities for (e)RedCap UE with FR1-NTN bands</w:t>
      </w:r>
    </w:p>
    <w:p w14:paraId="2D968FFD">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single"/>
          <w:lang w:val="en-US" w:eastAsia="ko-KR"/>
        </w:rPr>
      </w:pPr>
      <w:r>
        <w:rPr>
          <w:rFonts w:hint="eastAsia"/>
          <w:b/>
          <w:i/>
          <w:iCs/>
          <w:sz w:val="20"/>
          <w:szCs w:val="20"/>
          <w:highlight w:val="none"/>
          <w:u w:val="single"/>
          <w:lang w:val="en-US" w:eastAsia="ko-KR"/>
        </w:rPr>
        <w:t>Issue 4-2-1: How to declare the capabilities for (e)RedCap UE with FR1-NTN bands?</w:t>
      </w:r>
    </w:p>
    <w:p w14:paraId="333738FF">
      <w:pPr>
        <w:keepNext w:val="0"/>
        <w:keepLines w:val="0"/>
        <w:pageBreakBefore w:val="0"/>
        <w:widowControl/>
        <w:kinsoku/>
        <w:wordWrap/>
        <w:overflowPunct/>
        <w:topLinePunct w:val="0"/>
        <w:autoSpaceDE/>
        <w:autoSpaceDN/>
        <w:bidi w:val="0"/>
        <w:adjustRightInd/>
        <w:snapToGrid/>
        <w:spacing w:before="60" w:after="60"/>
        <w:textAlignment w:val="auto"/>
        <w:outlineLvl w:val="9"/>
        <w:rPr>
          <w:rFonts w:hint="eastAsia"/>
          <w:b/>
          <w:i/>
          <w:iCs/>
          <w:sz w:val="20"/>
          <w:szCs w:val="20"/>
          <w:highlight w:val="none"/>
          <w:u w:val="none"/>
          <w:lang w:val="en-US" w:eastAsia="zh-CN"/>
        </w:rPr>
      </w:pPr>
      <w:r>
        <w:rPr>
          <w:rFonts w:hint="eastAsia"/>
          <w:b/>
          <w:i/>
          <w:iCs/>
          <w:sz w:val="20"/>
          <w:szCs w:val="20"/>
          <w:highlight w:val="none"/>
          <w:u w:val="none"/>
          <w:lang w:val="en-US" w:eastAsia="ko-KR"/>
        </w:rPr>
        <w:t>&lt;Way Forward&gt;</w:t>
      </w:r>
      <w:r>
        <w:rPr>
          <w:rFonts w:hint="eastAsia"/>
          <w:b/>
          <w:i/>
          <w:iCs/>
          <w:sz w:val="20"/>
          <w:szCs w:val="20"/>
          <w:highlight w:val="none"/>
          <w:u w:val="none"/>
          <w:lang w:val="en-US" w:eastAsia="zh-CN"/>
        </w:rPr>
        <w:t>:</w:t>
      </w:r>
    </w:p>
    <w:bookmarkEnd w:id="5"/>
    <w:p w14:paraId="21161FD8">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i/>
          <w:iCs/>
          <w:sz w:val="20"/>
          <w:szCs w:val="20"/>
        </w:rPr>
      </w:pPr>
      <w:r>
        <w:rPr>
          <w:i/>
          <w:iCs/>
          <w:sz w:val="20"/>
          <w:szCs w:val="20"/>
        </w:rPr>
        <w:t xml:space="preserve">Proposal </w:t>
      </w:r>
      <w:r>
        <w:rPr>
          <w:rFonts w:hint="eastAsia"/>
          <w:i/>
          <w:iCs/>
          <w:sz w:val="20"/>
          <w:szCs w:val="20"/>
        </w:rPr>
        <w:t>1</w:t>
      </w:r>
      <w:r>
        <w:rPr>
          <w:i/>
          <w:iCs/>
          <w:sz w:val="20"/>
          <w:szCs w:val="20"/>
        </w:rPr>
        <w:t>: Declare the capabilities for (e)RedCap UE with FR1-NTN bands through implicitly by declaring support of RedCap (supportOfRedCap-r17 or supportOfERedCap-r18) and support of NTN (nonTerrestrialNetwork-r17).</w:t>
      </w:r>
    </w:p>
    <w:p w14:paraId="6620CD9B">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i/>
          <w:iCs/>
          <w:sz w:val="20"/>
          <w:szCs w:val="20"/>
        </w:rPr>
      </w:pPr>
      <w:r>
        <w:rPr>
          <w:i/>
          <w:iCs/>
          <w:sz w:val="20"/>
          <w:szCs w:val="20"/>
        </w:rPr>
        <w:t xml:space="preserve">Proposal </w:t>
      </w:r>
      <w:r>
        <w:rPr>
          <w:rFonts w:hint="eastAsia"/>
          <w:i/>
          <w:iCs/>
          <w:sz w:val="20"/>
          <w:szCs w:val="20"/>
        </w:rPr>
        <w:t xml:space="preserve">2: </w:t>
      </w:r>
      <w:r>
        <w:rPr>
          <w:i/>
          <w:iCs/>
          <w:sz w:val="20"/>
          <w:szCs w:val="20"/>
        </w:rPr>
        <w:t>Introduce new capability to declare support over RedCap over NTN.</w:t>
      </w:r>
    </w:p>
    <w:p w14:paraId="5EE22E52">
      <w:pPr>
        <w:keepNext w:val="0"/>
        <w:keepLines w:val="0"/>
        <w:pageBreakBefore w:val="0"/>
        <w:widowControl/>
        <w:numPr>
          <w:ilvl w:val="0"/>
          <w:numId w:val="6"/>
        </w:numPr>
        <w:kinsoku/>
        <w:wordWrap/>
        <w:overflowPunct/>
        <w:topLinePunct w:val="0"/>
        <w:autoSpaceDE/>
        <w:autoSpaceDN/>
        <w:bidi w:val="0"/>
        <w:adjustRightInd/>
        <w:snapToGrid/>
        <w:spacing w:before="60" w:after="60"/>
        <w:ind w:left="720" w:leftChars="0"/>
        <w:contextualSpacing w:val="0"/>
        <w:textAlignment w:val="auto"/>
        <w:rPr>
          <w:rFonts w:hint="eastAsia"/>
          <w:b/>
          <w:bCs/>
          <w:i/>
          <w:iCs/>
          <w:sz w:val="20"/>
          <w:szCs w:val="20"/>
          <w:lang w:val="en-US" w:eastAsia="zh-CN"/>
        </w:rPr>
      </w:pPr>
      <w:r>
        <w:rPr>
          <w:i/>
          <w:iCs/>
          <w:sz w:val="20"/>
          <w:szCs w:val="20"/>
        </w:rPr>
        <w:t xml:space="preserve">Proposal </w:t>
      </w:r>
      <w:r>
        <w:rPr>
          <w:rFonts w:hint="eastAsia"/>
          <w:i/>
          <w:iCs/>
          <w:sz w:val="20"/>
          <w:szCs w:val="20"/>
        </w:rPr>
        <w:t>3</w:t>
      </w:r>
      <w:r>
        <w:rPr>
          <w:i/>
          <w:iCs/>
          <w:sz w:val="20"/>
          <w:szCs w:val="20"/>
        </w:rPr>
        <w:t xml:space="preserve">: RAN4 </w:t>
      </w:r>
      <w:r>
        <w:rPr>
          <w:rFonts w:hint="eastAsia"/>
          <w:i/>
          <w:iCs/>
          <w:sz w:val="20"/>
          <w:szCs w:val="20"/>
        </w:rPr>
        <w:t xml:space="preserve">to </w:t>
      </w:r>
      <w:r>
        <w:rPr>
          <w:i/>
          <w:iCs/>
          <w:sz w:val="20"/>
          <w:szCs w:val="20"/>
        </w:rPr>
        <w:t>not discuss or conclude on UE capability signaling and structure for RedCap NTN, unless specific requests are received from other working groups via LSs.</w:t>
      </w:r>
    </w:p>
    <w:p w14:paraId="7A20FAC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For (e)Redcap UE capability declaring, both Proposal 1 and Proposal 2 are workable. Considering the principle of no need to introduce new capability if existing capability can be used, we slightly prefer the implicit way to save the workload of RAN2. </w:t>
      </w:r>
    </w:p>
    <w:p w14:paraId="0A07254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Theme="minorEastAsia"/>
          <w:b/>
          <w:bCs/>
          <w:i/>
          <w:iCs/>
          <w:sz w:val="20"/>
          <w:szCs w:val="20"/>
          <w:lang w:val="en-US" w:eastAsia="zh-CN"/>
        </w:rPr>
      </w:pPr>
      <w:bookmarkStart w:id="15" w:name="OLE_LINK33"/>
      <w:r>
        <w:rPr>
          <w:rFonts w:hint="eastAsia"/>
          <w:b/>
          <w:bCs/>
          <w:i/>
          <w:iCs/>
          <w:sz w:val="20"/>
          <w:szCs w:val="20"/>
          <w:lang w:val="en-US" w:eastAsia="zh-CN"/>
        </w:rPr>
        <w:t>Proposal 6: D</w:t>
      </w:r>
      <w:r>
        <w:rPr>
          <w:rFonts w:hint="eastAsia"/>
          <w:b/>
          <w:bCs/>
          <w:i/>
          <w:iCs/>
          <w:sz w:val="20"/>
          <w:szCs w:val="20"/>
          <w:lang w:val="en-US" w:eastAsia="en-US"/>
        </w:rPr>
        <w:t>eclare the capabilities for (e)RedCap UE with FR1-NTN bands</w:t>
      </w:r>
      <w:r>
        <w:rPr>
          <w:rFonts w:hint="eastAsia"/>
          <w:b/>
          <w:bCs/>
          <w:i/>
          <w:iCs/>
          <w:sz w:val="20"/>
          <w:szCs w:val="20"/>
          <w:lang w:val="en-US" w:eastAsia="zh-CN"/>
        </w:rPr>
        <w:t xml:space="preserve"> through implicitly by declaring </w:t>
      </w:r>
      <w:r>
        <w:rPr>
          <w:rFonts w:hint="eastAsia"/>
          <w:b/>
          <w:bCs/>
          <w:i/>
          <w:iCs/>
          <w:sz w:val="20"/>
          <w:szCs w:val="20"/>
          <w:lang w:val="en-US" w:eastAsia="en-US"/>
        </w:rPr>
        <w:t xml:space="preserve">support of RedCap (supportOfRedCap-r17 or supportOfERedCap-r18) </w:t>
      </w:r>
      <w:r>
        <w:rPr>
          <w:rFonts w:hint="eastAsia"/>
          <w:b/>
          <w:bCs/>
          <w:i/>
          <w:iCs/>
          <w:sz w:val="20"/>
          <w:szCs w:val="20"/>
          <w:lang w:val="en-US" w:eastAsia="zh-CN"/>
        </w:rPr>
        <w:t>and</w:t>
      </w:r>
      <w:r>
        <w:rPr>
          <w:rFonts w:hint="eastAsia"/>
          <w:b/>
          <w:bCs/>
          <w:i/>
          <w:iCs/>
          <w:sz w:val="20"/>
          <w:szCs w:val="20"/>
          <w:lang w:val="en-US" w:eastAsia="en-US"/>
        </w:rPr>
        <w:t xml:space="preserve"> support of NTN (nonTerrestrialNetwork-r17)</w:t>
      </w:r>
      <w:r>
        <w:rPr>
          <w:rFonts w:hint="eastAsia"/>
          <w:b/>
          <w:bCs/>
          <w:i/>
          <w:iCs/>
          <w:sz w:val="20"/>
          <w:szCs w:val="20"/>
          <w:lang w:val="en-US" w:eastAsia="zh-CN"/>
        </w:rPr>
        <w:t>.</w:t>
      </w:r>
    </w:p>
    <w:bookmarkEnd w:id="15"/>
    <w:p w14:paraId="2A140A88">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p>
    <w:bookmarkEnd w:id="6"/>
    <w:p w14:paraId="4503E848">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965FD2E">
      <w:pPr>
        <w:spacing w:before="60"/>
        <w:rPr>
          <w:sz w:val="20"/>
          <w:szCs w:val="20"/>
        </w:rPr>
      </w:pPr>
      <w:r>
        <w:rPr>
          <w:sz w:val="20"/>
          <w:szCs w:val="20"/>
        </w:rPr>
        <w:t xml:space="preserve">Based on the discussion above, the following proposals are concluded. </w:t>
      </w:r>
      <w:bookmarkEnd w:id="7"/>
      <w:bookmarkEnd w:id="8"/>
    </w:p>
    <w:p w14:paraId="65D6F7A2">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 xml:space="preserve">: </w:t>
      </w:r>
      <w:r>
        <w:rPr>
          <w:rFonts w:hint="eastAsia" w:eastAsia="等线"/>
          <w:b/>
          <w:bCs/>
          <w:i/>
          <w:iCs/>
          <w:sz w:val="20"/>
          <w:szCs w:val="20"/>
          <w:lang w:val="en-US" w:eastAsia="zh-CN"/>
        </w:rPr>
        <w:t>Define the MDT requirements i</w:t>
      </w:r>
      <w:r>
        <w:rPr>
          <w:rFonts w:hint="eastAsia"/>
          <w:b/>
          <w:bCs/>
          <w:i/>
          <w:iCs/>
          <w:sz w:val="20"/>
          <w:szCs w:val="20"/>
          <w:lang w:val="en-US" w:eastAsia="zh-CN"/>
        </w:rPr>
        <w:t xml:space="preserve">n RRC_IDLE and RRC_INACTIVE state </w:t>
      </w:r>
      <w:r>
        <w:rPr>
          <w:rFonts w:hint="eastAsia" w:eastAsia="等线"/>
          <w:b/>
          <w:bCs/>
          <w:i/>
          <w:iCs/>
          <w:sz w:val="20"/>
          <w:szCs w:val="20"/>
          <w:lang w:val="en-US" w:eastAsia="zh-CN"/>
        </w:rPr>
        <w:t>for Redcap over NTN. The legacy requirement from NTN can be reused.</w:t>
      </w:r>
    </w:p>
    <w:p w14:paraId="78809C13">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lang w:val="en-US" w:eastAsia="zh-CN"/>
        </w:rPr>
      </w:pPr>
      <w:r>
        <w:rPr>
          <w:rFonts w:eastAsia="等线"/>
          <w:b/>
          <w:bCs/>
          <w:i/>
          <w:iCs/>
          <w:sz w:val="20"/>
          <w:szCs w:val="20"/>
        </w:rPr>
        <w:t xml:space="preserve">Proposal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For (e)RedCap UE, the proximity distance between two SMTCs is 5ms.</w:t>
      </w:r>
    </w:p>
    <w:p w14:paraId="3CF56FD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i w:val="0"/>
          <w:iCs w:val="0"/>
          <w:kern w:val="2"/>
          <w:sz w:val="20"/>
          <w:szCs w:val="20"/>
          <w:lang w:val="en-US" w:eastAsia="zh-CN"/>
        </w:rPr>
      </w:pPr>
      <w:r>
        <w:rPr>
          <w:rFonts w:hint="eastAsia"/>
          <w:b/>
          <w:bCs/>
          <w:i/>
          <w:iCs/>
          <w:sz w:val="20"/>
          <w:szCs w:val="20"/>
          <w:lang w:val="en-US" w:eastAsia="zh-CN"/>
        </w:rPr>
        <w:t>Proposal 3: For minimum requirement for L1 indication for RLM and LR, reuse the legacy applicable condition, that for each RLM-RS configuration, at least one RLM-RS sample must fall with DL occasion within an indication period.</w:t>
      </w:r>
    </w:p>
    <w:p w14:paraId="723267D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Theme="minorEastAsia"/>
          <w:b/>
          <w:bCs/>
          <w:i/>
          <w:iCs/>
          <w:sz w:val="20"/>
          <w:szCs w:val="20"/>
          <w:lang w:val="en-US" w:eastAsia="zh-CN"/>
        </w:rPr>
      </w:pPr>
      <w:r>
        <w:rPr>
          <w:rFonts w:hint="eastAsia"/>
          <w:b/>
          <w:bCs/>
          <w:i/>
          <w:iCs/>
          <w:sz w:val="20"/>
          <w:szCs w:val="20"/>
          <w:lang w:val="en-US" w:eastAsia="zh-CN"/>
        </w:rPr>
        <w:t xml:space="preserve">Proposal 4: </w:t>
      </w:r>
      <w:r>
        <w:rPr>
          <w:rFonts w:hint="eastAsia"/>
          <w:b/>
          <w:bCs/>
          <w:i/>
          <w:iCs/>
          <w:kern w:val="2"/>
          <w:sz w:val="20"/>
          <w:szCs w:val="20"/>
          <w:lang w:val="en-US" w:eastAsia="zh-CN"/>
        </w:rPr>
        <w:t xml:space="preserve">For </w:t>
      </w:r>
      <w:r>
        <w:rPr>
          <w:rFonts w:hint="eastAsia"/>
          <w:b/>
          <w:bCs/>
          <w:i/>
          <w:iCs/>
          <w:sz w:val="20"/>
          <w:szCs w:val="20"/>
          <w:lang w:val="en-US" w:eastAsia="zh-CN"/>
        </w:rPr>
        <w:t>s</w:t>
      </w:r>
      <w:r>
        <w:rPr>
          <w:b/>
          <w:bCs/>
          <w:i/>
          <w:iCs/>
          <w:sz w:val="20"/>
          <w:szCs w:val="20"/>
        </w:rPr>
        <w:t>cheduling availability of UE during L1-RSRP measurement</w:t>
      </w:r>
      <w:r>
        <w:rPr>
          <w:rFonts w:hint="eastAsia"/>
          <w:b/>
          <w:bCs/>
          <w:i/>
          <w:iCs/>
          <w:sz w:val="20"/>
          <w:szCs w:val="20"/>
          <w:lang w:val="en-US" w:eastAsia="zh-CN"/>
        </w:rPr>
        <w:t xml:space="preserve">, update the principle as scheduling restrictions apply for transmission on PUCCH/PUSCH/SRS during the CBD evaluation period, </w:t>
      </w:r>
      <w:r>
        <w:rPr>
          <w:rFonts w:hint="eastAsia"/>
          <w:b/>
          <w:bCs/>
          <w:i/>
          <w:iCs/>
          <w:sz w:val="20"/>
          <w:szCs w:val="20"/>
          <w:u w:val="single"/>
          <w:lang w:val="en-US" w:eastAsia="zh-CN"/>
        </w:rPr>
        <w:t>when CBD evaluation is prioritized over UL transmission</w:t>
      </w:r>
      <w:r>
        <w:rPr>
          <w:rFonts w:hint="eastAsia"/>
          <w:b/>
          <w:bCs/>
          <w:i/>
          <w:iCs/>
          <w:sz w:val="20"/>
          <w:szCs w:val="20"/>
          <w:lang w:val="en-US" w:eastAsia="zh-CN"/>
        </w:rPr>
        <w:t>.</w:t>
      </w:r>
    </w:p>
    <w:p w14:paraId="0BE362D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val="0"/>
          <w:bCs w:val="0"/>
          <w:i w:val="0"/>
          <w:iCs w:val="0"/>
          <w:sz w:val="20"/>
          <w:szCs w:val="20"/>
          <w:lang w:val="en-US" w:eastAsia="zh-CN"/>
        </w:rPr>
      </w:pPr>
      <w:r>
        <w:rPr>
          <w:rFonts w:hint="eastAsia"/>
          <w:b/>
          <w:bCs/>
          <w:i/>
          <w:iCs/>
          <w:sz w:val="20"/>
          <w:szCs w:val="20"/>
          <w:lang w:val="en-US" w:eastAsia="zh-CN"/>
        </w:rPr>
        <w:t>Proposal 5: For CSI-RS and PRS based measurement requirements, the requirements can be applied provided that there is at least one RS within each measurement interval.</w:t>
      </w:r>
    </w:p>
    <w:p w14:paraId="650543D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Theme="minorEastAsia"/>
          <w:b/>
          <w:bCs/>
          <w:i/>
          <w:iCs/>
          <w:sz w:val="20"/>
          <w:szCs w:val="20"/>
          <w:lang w:val="en-US" w:eastAsia="zh-CN"/>
        </w:rPr>
      </w:pPr>
      <w:r>
        <w:rPr>
          <w:rFonts w:hint="eastAsia"/>
          <w:b/>
          <w:bCs/>
          <w:i/>
          <w:iCs/>
          <w:sz w:val="20"/>
          <w:szCs w:val="20"/>
          <w:lang w:val="en-US" w:eastAsia="zh-CN"/>
        </w:rPr>
        <w:t>Proposal 6: D</w:t>
      </w:r>
      <w:r>
        <w:rPr>
          <w:rFonts w:hint="eastAsia"/>
          <w:b/>
          <w:bCs/>
          <w:i/>
          <w:iCs/>
          <w:sz w:val="20"/>
          <w:szCs w:val="20"/>
          <w:lang w:val="en-US" w:eastAsia="en-US"/>
        </w:rPr>
        <w:t>eclare the capabilities for (e)RedCap UE with FR1-NTN bands</w:t>
      </w:r>
      <w:r>
        <w:rPr>
          <w:rFonts w:hint="eastAsia"/>
          <w:b/>
          <w:bCs/>
          <w:i/>
          <w:iCs/>
          <w:sz w:val="20"/>
          <w:szCs w:val="20"/>
          <w:lang w:val="en-US" w:eastAsia="zh-CN"/>
        </w:rPr>
        <w:t xml:space="preserve"> through implicitly by declaring </w:t>
      </w:r>
      <w:r>
        <w:rPr>
          <w:rFonts w:hint="eastAsia"/>
          <w:b/>
          <w:bCs/>
          <w:i/>
          <w:iCs/>
          <w:sz w:val="20"/>
          <w:szCs w:val="20"/>
          <w:lang w:val="en-US" w:eastAsia="en-US"/>
        </w:rPr>
        <w:t xml:space="preserve">support of RedCap (supportOfRedCap-r17 or supportOfERedCap-r18) </w:t>
      </w:r>
      <w:r>
        <w:rPr>
          <w:rFonts w:hint="eastAsia"/>
          <w:b/>
          <w:bCs/>
          <w:i/>
          <w:iCs/>
          <w:sz w:val="20"/>
          <w:szCs w:val="20"/>
          <w:lang w:val="en-US" w:eastAsia="zh-CN"/>
        </w:rPr>
        <w:t>and</w:t>
      </w:r>
      <w:r>
        <w:rPr>
          <w:rFonts w:hint="eastAsia"/>
          <w:b/>
          <w:bCs/>
          <w:i/>
          <w:iCs/>
          <w:sz w:val="20"/>
          <w:szCs w:val="20"/>
          <w:lang w:val="en-US" w:eastAsia="en-US"/>
        </w:rPr>
        <w:t xml:space="preserve"> support of NTN (nonTerrestrialNetwork-r17)</w:t>
      </w:r>
      <w:r>
        <w:rPr>
          <w:rFonts w:hint="eastAsia"/>
          <w:b/>
          <w:bCs/>
          <w:i/>
          <w:iCs/>
          <w:sz w:val="20"/>
          <w:szCs w:val="20"/>
          <w:lang w:val="en-US" w:eastAsia="zh-CN"/>
        </w:rPr>
        <w:t>.</w:t>
      </w:r>
    </w:p>
    <w:p w14:paraId="7BA53150">
      <w:pPr>
        <w:keepNext w:val="0"/>
        <w:keepLines w:val="0"/>
        <w:pageBreakBefore w:val="0"/>
        <w:widowControl/>
        <w:numPr>
          <w:ilvl w:val="0"/>
          <w:numId w:val="0"/>
        </w:numPr>
        <w:kinsoku/>
        <w:wordWrap/>
        <w:overflowPunct/>
        <w:topLinePunct w:val="0"/>
        <w:autoSpaceDE/>
        <w:autoSpaceDN/>
        <w:bidi w:val="0"/>
        <w:adjustRightInd/>
        <w:snapToGrid/>
        <w:contextualSpacing/>
        <w:textAlignment w:val="auto"/>
        <w:rPr>
          <w:rFonts w:ascii="Times New Roman" w:hAnsi="Times New Roman" w:eastAsia="宋体" w:cs="Times New Roman"/>
          <w:b/>
          <w:bCs/>
          <w:i/>
          <w:iCs/>
          <w:sz w:val="20"/>
          <w:szCs w:val="20"/>
          <w:lang w:val="en-US" w:eastAsia="en-US" w:bidi="ar-SA"/>
        </w:rPr>
      </w:pPr>
    </w:p>
    <w:p w14:paraId="70213217">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1B4AD75">
      <w:pPr>
        <w:numPr>
          <w:ilvl w:val="0"/>
          <w:numId w:val="7"/>
        </w:numPr>
        <w:rPr>
          <w:rFonts w:hint="default" w:eastAsiaTheme="minorEastAsia"/>
          <w:sz w:val="20"/>
          <w:szCs w:val="20"/>
          <w:lang w:val="en-US" w:eastAsia="zh-CN"/>
        </w:rPr>
      </w:pPr>
      <w:r>
        <w:rPr>
          <w:rFonts w:hint="eastAsia"/>
          <w:sz w:val="20"/>
          <w:szCs w:val="20"/>
          <w:lang w:val="en-US" w:eastAsia="zh-CN"/>
        </w:rPr>
        <w:t>R4-2504912, WF on RRM requirements for NR_NTN_Ph3_Part1, Moderator (CATT)</w:t>
      </w:r>
    </w:p>
    <w:sectPr>
      <w:pgSz w:w="11900" w:h="16840"/>
      <w:pgMar w:top="1134" w:right="1417"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lang w:val="en-US"/>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3">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9EE624D"/>
    <w:multiLevelType w:val="singleLevel"/>
    <w:tmpl w:val="79EE624D"/>
    <w:lvl w:ilvl="0" w:tentative="0">
      <w:start w:val="1"/>
      <w:numFmt w:val="decimal"/>
      <w:suff w:val="space"/>
      <w:lvlText w:val="[%1]"/>
      <w:lvlJc w:val="left"/>
    </w:lvl>
  </w:abstractNum>
  <w:num w:numId="1">
    <w:abstractNumId w:val="5"/>
  </w:num>
  <w:num w:numId="2">
    <w:abstractNumId w:val="3"/>
  </w:num>
  <w:num w:numId="3">
    <w:abstractNumId w:val="1"/>
  </w:num>
  <w:num w:numId="4">
    <w:abstractNumId w:val="4"/>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59B"/>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80A"/>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01309F"/>
    <w:rsid w:val="0308283B"/>
    <w:rsid w:val="032875BA"/>
    <w:rsid w:val="035A658E"/>
    <w:rsid w:val="03FF761E"/>
    <w:rsid w:val="04027B7C"/>
    <w:rsid w:val="04270E0A"/>
    <w:rsid w:val="04440527"/>
    <w:rsid w:val="04DB75FA"/>
    <w:rsid w:val="04DC77BE"/>
    <w:rsid w:val="04F14AC0"/>
    <w:rsid w:val="053E51B4"/>
    <w:rsid w:val="05A920F6"/>
    <w:rsid w:val="05CF2BA5"/>
    <w:rsid w:val="05E842A2"/>
    <w:rsid w:val="061C4A75"/>
    <w:rsid w:val="06830D33"/>
    <w:rsid w:val="07B91BA9"/>
    <w:rsid w:val="07E3754D"/>
    <w:rsid w:val="087215FB"/>
    <w:rsid w:val="08AB1B88"/>
    <w:rsid w:val="09301679"/>
    <w:rsid w:val="09380145"/>
    <w:rsid w:val="098E414D"/>
    <w:rsid w:val="09C43F96"/>
    <w:rsid w:val="0A002B8F"/>
    <w:rsid w:val="0A2516E8"/>
    <w:rsid w:val="0A2F10B0"/>
    <w:rsid w:val="0A314183"/>
    <w:rsid w:val="0A512B65"/>
    <w:rsid w:val="0A613B9D"/>
    <w:rsid w:val="0A6E4719"/>
    <w:rsid w:val="0AB1352C"/>
    <w:rsid w:val="0B1810CB"/>
    <w:rsid w:val="0B3C6892"/>
    <w:rsid w:val="0B4D1804"/>
    <w:rsid w:val="0B4E364B"/>
    <w:rsid w:val="0BC169A8"/>
    <w:rsid w:val="0BFD3FEE"/>
    <w:rsid w:val="0BFE43A0"/>
    <w:rsid w:val="0C34713B"/>
    <w:rsid w:val="0C6A2398"/>
    <w:rsid w:val="0D11391B"/>
    <w:rsid w:val="0D6D742F"/>
    <w:rsid w:val="0D7B07A7"/>
    <w:rsid w:val="0DB01D4D"/>
    <w:rsid w:val="0E115F02"/>
    <w:rsid w:val="0E1E058B"/>
    <w:rsid w:val="0E6C3CB3"/>
    <w:rsid w:val="0E723D6F"/>
    <w:rsid w:val="0EA0635C"/>
    <w:rsid w:val="0EB73522"/>
    <w:rsid w:val="0EC601AB"/>
    <w:rsid w:val="0F2A17EF"/>
    <w:rsid w:val="103877B0"/>
    <w:rsid w:val="10C74B9A"/>
    <w:rsid w:val="10FD15E1"/>
    <w:rsid w:val="11157AC0"/>
    <w:rsid w:val="11410433"/>
    <w:rsid w:val="114C2E03"/>
    <w:rsid w:val="11502A3C"/>
    <w:rsid w:val="116206E1"/>
    <w:rsid w:val="11E74B6B"/>
    <w:rsid w:val="11EF3345"/>
    <w:rsid w:val="12076678"/>
    <w:rsid w:val="12CC1965"/>
    <w:rsid w:val="135D091C"/>
    <w:rsid w:val="137462B3"/>
    <w:rsid w:val="1381490C"/>
    <w:rsid w:val="144E60BA"/>
    <w:rsid w:val="14704788"/>
    <w:rsid w:val="14815722"/>
    <w:rsid w:val="14DF0F61"/>
    <w:rsid w:val="15321084"/>
    <w:rsid w:val="155A08C9"/>
    <w:rsid w:val="164E7427"/>
    <w:rsid w:val="165E62D7"/>
    <w:rsid w:val="16701F86"/>
    <w:rsid w:val="16E2462A"/>
    <w:rsid w:val="16F963FC"/>
    <w:rsid w:val="17F40229"/>
    <w:rsid w:val="17F76EF9"/>
    <w:rsid w:val="18196732"/>
    <w:rsid w:val="182D29DC"/>
    <w:rsid w:val="18572D14"/>
    <w:rsid w:val="18976445"/>
    <w:rsid w:val="19166C11"/>
    <w:rsid w:val="19684D1A"/>
    <w:rsid w:val="199268D2"/>
    <w:rsid w:val="19A32242"/>
    <w:rsid w:val="19AE4C3C"/>
    <w:rsid w:val="19E84EE7"/>
    <w:rsid w:val="1A337C08"/>
    <w:rsid w:val="1A693185"/>
    <w:rsid w:val="1AE9076D"/>
    <w:rsid w:val="1B08792E"/>
    <w:rsid w:val="1B6524AD"/>
    <w:rsid w:val="1B846519"/>
    <w:rsid w:val="1C045BB5"/>
    <w:rsid w:val="1C166ABB"/>
    <w:rsid w:val="1C28484F"/>
    <w:rsid w:val="1C501E46"/>
    <w:rsid w:val="1CE6214B"/>
    <w:rsid w:val="1D482986"/>
    <w:rsid w:val="1D530466"/>
    <w:rsid w:val="1DFA1A6E"/>
    <w:rsid w:val="1E1E7279"/>
    <w:rsid w:val="1E727913"/>
    <w:rsid w:val="1EBC4909"/>
    <w:rsid w:val="1F161C13"/>
    <w:rsid w:val="1FC30CF0"/>
    <w:rsid w:val="20251BCD"/>
    <w:rsid w:val="203F5164"/>
    <w:rsid w:val="20577E1E"/>
    <w:rsid w:val="20741BCD"/>
    <w:rsid w:val="21812D83"/>
    <w:rsid w:val="21E6327B"/>
    <w:rsid w:val="21EE246F"/>
    <w:rsid w:val="220A3DCE"/>
    <w:rsid w:val="226278E6"/>
    <w:rsid w:val="228679ED"/>
    <w:rsid w:val="2297614E"/>
    <w:rsid w:val="22CD4739"/>
    <w:rsid w:val="22DF4B25"/>
    <w:rsid w:val="235D321D"/>
    <w:rsid w:val="23A0131E"/>
    <w:rsid w:val="23F24A71"/>
    <w:rsid w:val="2453420A"/>
    <w:rsid w:val="24657273"/>
    <w:rsid w:val="25B0630F"/>
    <w:rsid w:val="25C62A88"/>
    <w:rsid w:val="260E7FC9"/>
    <w:rsid w:val="264F651F"/>
    <w:rsid w:val="26AB5CAA"/>
    <w:rsid w:val="26BF4B3C"/>
    <w:rsid w:val="270343AF"/>
    <w:rsid w:val="275238E8"/>
    <w:rsid w:val="27885E9A"/>
    <w:rsid w:val="27A9199E"/>
    <w:rsid w:val="27C37418"/>
    <w:rsid w:val="27DA56EB"/>
    <w:rsid w:val="27E70AD2"/>
    <w:rsid w:val="282B4205"/>
    <w:rsid w:val="28340C68"/>
    <w:rsid w:val="28E63708"/>
    <w:rsid w:val="2903193C"/>
    <w:rsid w:val="293A0182"/>
    <w:rsid w:val="29AE1EEB"/>
    <w:rsid w:val="29B87E90"/>
    <w:rsid w:val="29F41202"/>
    <w:rsid w:val="2A1C7136"/>
    <w:rsid w:val="2A52567F"/>
    <w:rsid w:val="2A9860D6"/>
    <w:rsid w:val="2AD63ADB"/>
    <w:rsid w:val="2AF84813"/>
    <w:rsid w:val="2B280B73"/>
    <w:rsid w:val="2B2D51E0"/>
    <w:rsid w:val="2B3B6068"/>
    <w:rsid w:val="2CCE420F"/>
    <w:rsid w:val="2D3C0CBF"/>
    <w:rsid w:val="2D480610"/>
    <w:rsid w:val="2DFC7047"/>
    <w:rsid w:val="2E177608"/>
    <w:rsid w:val="2E285745"/>
    <w:rsid w:val="2E3C798B"/>
    <w:rsid w:val="2E954754"/>
    <w:rsid w:val="2EBB7CD6"/>
    <w:rsid w:val="2EBF79F5"/>
    <w:rsid w:val="2ECD6A4D"/>
    <w:rsid w:val="2F1F43E1"/>
    <w:rsid w:val="2F28060A"/>
    <w:rsid w:val="2F8831C0"/>
    <w:rsid w:val="2FF748E5"/>
    <w:rsid w:val="300B5909"/>
    <w:rsid w:val="302A3B16"/>
    <w:rsid w:val="30B40872"/>
    <w:rsid w:val="30B631AE"/>
    <w:rsid w:val="30CD41B2"/>
    <w:rsid w:val="311C418B"/>
    <w:rsid w:val="312A6EA1"/>
    <w:rsid w:val="314F1B30"/>
    <w:rsid w:val="31686321"/>
    <w:rsid w:val="325B0B02"/>
    <w:rsid w:val="33106379"/>
    <w:rsid w:val="33417212"/>
    <w:rsid w:val="337A5602"/>
    <w:rsid w:val="33867DCA"/>
    <w:rsid w:val="33870849"/>
    <w:rsid w:val="339A6C60"/>
    <w:rsid w:val="33A629ED"/>
    <w:rsid w:val="33C33478"/>
    <w:rsid w:val="33CE3940"/>
    <w:rsid w:val="33E2308C"/>
    <w:rsid w:val="33FE13A0"/>
    <w:rsid w:val="33FF585B"/>
    <w:rsid w:val="341222FE"/>
    <w:rsid w:val="34767F95"/>
    <w:rsid w:val="34AF7BFE"/>
    <w:rsid w:val="34C969B6"/>
    <w:rsid w:val="35A645F2"/>
    <w:rsid w:val="35CB3800"/>
    <w:rsid w:val="36081486"/>
    <w:rsid w:val="3620464F"/>
    <w:rsid w:val="36267311"/>
    <w:rsid w:val="36416C14"/>
    <w:rsid w:val="366B2405"/>
    <w:rsid w:val="36ED2DC2"/>
    <w:rsid w:val="378E4517"/>
    <w:rsid w:val="37CB4866"/>
    <w:rsid w:val="38616D76"/>
    <w:rsid w:val="38C116AD"/>
    <w:rsid w:val="3ABF584B"/>
    <w:rsid w:val="3AE06415"/>
    <w:rsid w:val="3B1D4D3A"/>
    <w:rsid w:val="3B1E11F2"/>
    <w:rsid w:val="3B3261DC"/>
    <w:rsid w:val="3B8F2744"/>
    <w:rsid w:val="3BCD3BF3"/>
    <w:rsid w:val="3BFE0C95"/>
    <w:rsid w:val="3C00607D"/>
    <w:rsid w:val="3C1B0BDA"/>
    <w:rsid w:val="3C1C2A58"/>
    <w:rsid w:val="3C3F629C"/>
    <w:rsid w:val="3C4C1B38"/>
    <w:rsid w:val="3CC57762"/>
    <w:rsid w:val="3D2E150D"/>
    <w:rsid w:val="3D544B41"/>
    <w:rsid w:val="3D774C98"/>
    <w:rsid w:val="3DA924E0"/>
    <w:rsid w:val="3DD26E51"/>
    <w:rsid w:val="3DFE15C4"/>
    <w:rsid w:val="3EEA4AAC"/>
    <w:rsid w:val="3EF44FD4"/>
    <w:rsid w:val="3FB93D52"/>
    <w:rsid w:val="3FDA4BFA"/>
    <w:rsid w:val="3FEF1D74"/>
    <w:rsid w:val="3FFA159D"/>
    <w:rsid w:val="4028093E"/>
    <w:rsid w:val="40A203D0"/>
    <w:rsid w:val="41021CB6"/>
    <w:rsid w:val="42714C57"/>
    <w:rsid w:val="428C04CB"/>
    <w:rsid w:val="4293387E"/>
    <w:rsid w:val="43294C63"/>
    <w:rsid w:val="43297F3D"/>
    <w:rsid w:val="432F05BA"/>
    <w:rsid w:val="438A330C"/>
    <w:rsid w:val="43B141DD"/>
    <w:rsid w:val="43BB175A"/>
    <w:rsid w:val="43CB7FC0"/>
    <w:rsid w:val="43D2693C"/>
    <w:rsid w:val="443A7490"/>
    <w:rsid w:val="44694FB6"/>
    <w:rsid w:val="44D416C8"/>
    <w:rsid w:val="44E55C94"/>
    <w:rsid w:val="44F042A4"/>
    <w:rsid w:val="45004955"/>
    <w:rsid w:val="45104F09"/>
    <w:rsid w:val="4568626D"/>
    <w:rsid w:val="45A64DC9"/>
    <w:rsid w:val="45D44A70"/>
    <w:rsid w:val="4606166D"/>
    <w:rsid w:val="461247C1"/>
    <w:rsid w:val="468D0F58"/>
    <w:rsid w:val="47382E8E"/>
    <w:rsid w:val="47BD2EBF"/>
    <w:rsid w:val="480073D8"/>
    <w:rsid w:val="48045BE0"/>
    <w:rsid w:val="483C7010"/>
    <w:rsid w:val="48827744"/>
    <w:rsid w:val="489F04CD"/>
    <w:rsid w:val="48DD3AEA"/>
    <w:rsid w:val="48FF5BC4"/>
    <w:rsid w:val="4909275C"/>
    <w:rsid w:val="496B0DFD"/>
    <w:rsid w:val="49916B70"/>
    <w:rsid w:val="499C7F1A"/>
    <w:rsid w:val="49BD7F19"/>
    <w:rsid w:val="4A4107F5"/>
    <w:rsid w:val="4A6E3875"/>
    <w:rsid w:val="4AAD5187"/>
    <w:rsid w:val="4AB334E0"/>
    <w:rsid w:val="4AC54120"/>
    <w:rsid w:val="4AE14CE5"/>
    <w:rsid w:val="4B820C21"/>
    <w:rsid w:val="4C14046C"/>
    <w:rsid w:val="4C311206"/>
    <w:rsid w:val="4C740FBB"/>
    <w:rsid w:val="4CB32D3F"/>
    <w:rsid w:val="4D1769F0"/>
    <w:rsid w:val="4D2C3744"/>
    <w:rsid w:val="4DF73079"/>
    <w:rsid w:val="4E222F58"/>
    <w:rsid w:val="4E63642D"/>
    <w:rsid w:val="4E734BC1"/>
    <w:rsid w:val="4E7F6788"/>
    <w:rsid w:val="4EEE3525"/>
    <w:rsid w:val="4F1A25AD"/>
    <w:rsid w:val="4F4A5D3D"/>
    <w:rsid w:val="4F882DF6"/>
    <w:rsid w:val="4FA71C42"/>
    <w:rsid w:val="4FBE626D"/>
    <w:rsid w:val="50047D3F"/>
    <w:rsid w:val="50803E7A"/>
    <w:rsid w:val="50952AAD"/>
    <w:rsid w:val="50D16751"/>
    <w:rsid w:val="50FC4159"/>
    <w:rsid w:val="51BC33A4"/>
    <w:rsid w:val="51E83731"/>
    <w:rsid w:val="52387E00"/>
    <w:rsid w:val="52657DC0"/>
    <w:rsid w:val="52A02608"/>
    <w:rsid w:val="53046661"/>
    <w:rsid w:val="53F344DD"/>
    <w:rsid w:val="53F34D30"/>
    <w:rsid w:val="54141C5F"/>
    <w:rsid w:val="5415308F"/>
    <w:rsid w:val="548E4C17"/>
    <w:rsid w:val="54E33DB4"/>
    <w:rsid w:val="559303C8"/>
    <w:rsid w:val="56902820"/>
    <w:rsid w:val="56D73D29"/>
    <w:rsid w:val="56D805CB"/>
    <w:rsid w:val="571E44CC"/>
    <w:rsid w:val="57252D4C"/>
    <w:rsid w:val="578951E7"/>
    <w:rsid w:val="57B242AE"/>
    <w:rsid w:val="580B1B2A"/>
    <w:rsid w:val="582D4E7E"/>
    <w:rsid w:val="585C7AD6"/>
    <w:rsid w:val="587E7112"/>
    <w:rsid w:val="58873EE9"/>
    <w:rsid w:val="58B90AAC"/>
    <w:rsid w:val="58D33E46"/>
    <w:rsid w:val="59451621"/>
    <w:rsid w:val="59804317"/>
    <w:rsid w:val="5A3916BC"/>
    <w:rsid w:val="5A5554D1"/>
    <w:rsid w:val="5ACB668C"/>
    <w:rsid w:val="5AD564E3"/>
    <w:rsid w:val="5AF453B5"/>
    <w:rsid w:val="5B4F5A23"/>
    <w:rsid w:val="5B9A48FE"/>
    <w:rsid w:val="5BE54260"/>
    <w:rsid w:val="5C03165A"/>
    <w:rsid w:val="5C753FBD"/>
    <w:rsid w:val="5C845BC3"/>
    <w:rsid w:val="5D0B6B17"/>
    <w:rsid w:val="5D265BFE"/>
    <w:rsid w:val="5DC638A4"/>
    <w:rsid w:val="5DE26877"/>
    <w:rsid w:val="5E0314D0"/>
    <w:rsid w:val="5E9F5E2F"/>
    <w:rsid w:val="5EA54D66"/>
    <w:rsid w:val="5ED27D96"/>
    <w:rsid w:val="5F335A07"/>
    <w:rsid w:val="5FAE3C1E"/>
    <w:rsid w:val="60176AA1"/>
    <w:rsid w:val="601C52A9"/>
    <w:rsid w:val="603B3B74"/>
    <w:rsid w:val="60B5412C"/>
    <w:rsid w:val="60BC6411"/>
    <w:rsid w:val="61385C53"/>
    <w:rsid w:val="61AF27D1"/>
    <w:rsid w:val="61D4570E"/>
    <w:rsid w:val="61FE73B1"/>
    <w:rsid w:val="62090166"/>
    <w:rsid w:val="621D6C97"/>
    <w:rsid w:val="628E517D"/>
    <w:rsid w:val="629C6F02"/>
    <w:rsid w:val="62F3291C"/>
    <w:rsid w:val="632D59F4"/>
    <w:rsid w:val="636D6759"/>
    <w:rsid w:val="63D17AAF"/>
    <w:rsid w:val="646466A7"/>
    <w:rsid w:val="646D5888"/>
    <w:rsid w:val="649B770A"/>
    <w:rsid w:val="65B3429B"/>
    <w:rsid w:val="666B0042"/>
    <w:rsid w:val="6695767F"/>
    <w:rsid w:val="669876C5"/>
    <w:rsid w:val="669A6BCA"/>
    <w:rsid w:val="66A97CCD"/>
    <w:rsid w:val="66B83359"/>
    <w:rsid w:val="66D93407"/>
    <w:rsid w:val="66F52B79"/>
    <w:rsid w:val="674701DD"/>
    <w:rsid w:val="674E1284"/>
    <w:rsid w:val="67791B52"/>
    <w:rsid w:val="678F7D1C"/>
    <w:rsid w:val="67B02672"/>
    <w:rsid w:val="67F34F90"/>
    <w:rsid w:val="67FA6925"/>
    <w:rsid w:val="68F83689"/>
    <w:rsid w:val="68F9738C"/>
    <w:rsid w:val="690A41ED"/>
    <w:rsid w:val="6950210B"/>
    <w:rsid w:val="69B84930"/>
    <w:rsid w:val="6A3F058B"/>
    <w:rsid w:val="6A626D71"/>
    <w:rsid w:val="6AA1751A"/>
    <w:rsid w:val="6B3773F6"/>
    <w:rsid w:val="6B4260BD"/>
    <w:rsid w:val="6BFB6DB8"/>
    <w:rsid w:val="6D72001A"/>
    <w:rsid w:val="6D790A61"/>
    <w:rsid w:val="6DFF0623"/>
    <w:rsid w:val="6E7D749A"/>
    <w:rsid w:val="6EC018FE"/>
    <w:rsid w:val="6FAC37F7"/>
    <w:rsid w:val="6FD518E1"/>
    <w:rsid w:val="702177F8"/>
    <w:rsid w:val="70680FA0"/>
    <w:rsid w:val="709A16D4"/>
    <w:rsid w:val="709A7B1B"/>
    <w:rsid w:val="70B558FD"/>
    <w:rsid w:val="71275730"/>
    <w:rsid w:val="7191735E"/>
    <w:rsid w:val="72270B56"/>
    <w:rsid w:val="738E763D"/>
    <w:rsid w:val="74521C25"/>
    <w:rsid w:val="746F038B"/>
    <w:rsid w:val="74BC07DB"/>
    <w:rsid w:val="75280129"/>
    <w:rsid w:val="7530247A"/>
    <w:rsid w:val="759978CC"/>
    <w:rsid w:val="76320D9A"/>
    <w:rsid w:val="76871284"/>
    <w:rsid w:val="769367A2"/>
    <w:rsid w:val="76AC769B"/>
    <w:rsid w:val="772D6395"/>
    <w:rsid w:val="776B7A4C"/>
    <w:rsid w:val="77DC6BAC"/>
    <w:rsid w:val="77EA2826"/>
    <w:rsid w:val="77EB1A53"/>
    <w:rsid w:val="782126F5"/>
    <w:rsid w:val="7863068B"/>
    <w:rsid w:val="78833509"/>
    <w:rsid w:val="78DE7EBE"/>
    <w:rsid w:val="78F0559D"/>
    <w:rsid w:val="78F63FBC"/>
    <w:rsid w:val="79497FA2"/>
    <w:rsid w:val="795B3975"/>
    <w:rsid w:val="796443F7"/>
    <w:rsid w:val="799A470F"/>
    <w:rsid w:val="7A496371"/>
    <w:rsid w:val="7A8B7C93"/>
    <w:rsid w:val="7ABC1705"/>
    <w:rsid w:val="7B0E64C9"/>
    <w:rsid w:val="7B17135D"/>
    <w:rsid w:val="7B3426D8"/>
    <w:rsid w:val="7B62251E"/>
    <w:rsid w:val="7BD16F30"/>
    <w:rsid w:val="7C1A4147"/>
    <w:rsid w:val="7CAD6BC4"/>
    <w:rsid w:val="7CC962C6"/>
    <w:rsid w:val="7CE51231"/>
    <w:rsid w:val="7CED0E52"/>
    <w:rsid w:val="7CF466CF"/>
    <w:rsid w:val="7D017AA5"/>
    <w:rsid w:val="7D272AF4"/>
    <w:rsid w:val="7DD773F4"/>
    <w:rsid w:val="7DFB663E"/>
    <w:rsid w:val="7EB30629"/>
    <w:rsid w:val="7EFC188F"/>
    <w:rsid w:val="7F2D7455"/>
    <w:rsid w:val="7F4C543C"/>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1"/>
    <w:next w:val="1"/>
    <w:link w:val="38"/>
    <w:qFormat/>
    <w:uiPriority w:val="0"/>
    <w:pPr>
      <w:tabs>
        <w:tab w:val="left" w:pos="432"/>
        <w:tab w:val="left" w:pos="720"/>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1"/>
    <w:next w:val="1"/>
    <w:link w:val="40"/>
    <w:qFormat/>
    <w:uiPriority w:val="0"/>
    <w:pPr>
      <w:tabs>
        <w:tab w:val="left" w:pos="432"/>
        <w:tab w:val="left" w:pos="1152"/>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4"/>
    <w:semiHidden/>
    <w:unhideWhenUsed/>
    <w:qFormat/>
    <w:uiPriority w:val="99"/>
    <w:pPr>
      <w:ind w:left="100" w:leftChars="200" w:hanging="200" w:hangingChars="200"/>
      <w:contextualSpacing/>
    </w:pPr>
  </w:style>
  <w:style w:type="paragraph" w:styleId="14">
    <w:name w:val="List"/>
    <w:basedOn w:val="1"/>
    <w:semiHidden/>
    <w:unhideWhenUsed/>
    <w:qFormat/>
    <w:uiPriority w:val="99"/>
    <w:pPr>
      <w:ind w:left="200" w:hanging="200" w:hangingChars="200"/>
      <w:contextualSpacing/>
    </w:pPr>
  </w:style>
  <w:style w:type="paragraph" w:styleId="15">
    <w:name w:val="Balloon Text"/>
    <w:basedOn w:val="1"/>
    <w:link w:val="47"/>
    <w:semiHidden/>
    <w:unhideWhenUsed/>
    <w:qFormat/>
    <w:uiPriority w:val="99"/>
    <w:rPr>
      <w:rFonts w:ascii="Cambria Math" w:hAnsi="Cambria Math" w:eastAsia="Cambria Math"/>
      <w:sz w:val="18"/>
      <w:szCs w:val="18"/>
    </w:rPr>
  </w:style>
  <w:style w:type="paragraph" w:styleId="16">
    <w:name w:val="footer"/>
    <w:basedOn w:val="17"/>
    <w:link w:val="48"/>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5"/>
    <w:qFormat/>
    <w:uiPriority w:val="99"/>
    <w:pPr>
      <w:tabs>
        <w:tab w:val="center" w:pos="4153"/>
        <w:tab w:val="right" w:pos="8306"/>
      </w:tabs>
    </w:pPr>
    <w:rPr>
      <w:rFonts w:eastAsia="Courier New"/>
      <w:sz w:val="20"/>
      <w:szCs w:val="20"/>
      <w:lang w:eastAsia="en-US"/>
    </w:r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7"/>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5"/>
    <w:semiHidden/>
    <w:qFormat/>
    <w:uiPriority w:val="99"/>
    <w:rPr>
      <w:rFonts w:ascii="Cambria Math" w:eastAsia="Cambria Math"/>
      <w:sz w:val="18"/>
      <w:szCs w:val="18"/>
    </w:rPr>
  </w:style>
  <w:style w:type="character" w:customStyle="1" w:styleId="48">
    <w:name w:val="页脚 字符"/>
    <w:link w:val="16"/>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4"/>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3418</Words>
  <Characters>19486</Characters>
  <Lines>162</Lines>
  <Paragraphs>45</Paragraphs>
  <TotalTime>1</TotalTime>
  <ScaleCrop>false</ScaleCrop>
  <LinksUpToDate>false</LinksUpToDate>
  <CharactersWithSpaces>22859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2025-05-09T07:27:42Z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34D6510157444E8DA08695970280360A</vt:lpwstr>
  </property>
</Properties>
</file>